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FD814" w14:textId="2065D7BB" w:rsidR="003423F3" w:rsidRDefault="003423F3" w:rsidP="003423F3">
      <w:pPr>
        <w:pStyle w:val="SECPaperTitle"/>
        <w:spacing w:before="0" w:after="240"/>
        <w:rPr>
          <w:sz w:val="30"/>
          <w:szCs w:val="30"/>
        </w:rPr>
      </w:pPr>
      <w:r>
        <w:rPr>
          <w:noProof/>
          <w:lang w:eastAsia="en-GB"/>
        </w:rPr>
        <mc:AlternateContent>
          <mc:Choice Requires="wps">
            <w:drawing>
              <wp:anchor distT="45720" distB="45720" distL="114300" distR="114300" simplePos="0" relativeHeight="251661312" behindDoc="0" locked="0" layoutInCell="1" allowOverlap="1" wp14:anchorId="471CF36B" wp14:editId="3CB33433">
                <wp:simplePos x="0" y="0"/>
                <wp:positionH relativeFrom="margin">
                  <wp:align>left</wp:align>
                </wp:positionH>
                <wp:positionV relativeFrom="paragraph">
                  <wp:posOffset>0</wp:posOffset>
                </wp:positionV>
                <wp:extent cx="5770880" cy="466725"/>
                <wp:effectExtent l="0" t="0" r="2032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880" cy="466725"/>
                        </a:xfrm>
                        <a:prstGeom prst="rect">
                          <a:avLst/>
                        </a:prstGeom>
                        <a:solidFill>
                          <a:srgbClr val="FFFFFF"/>
                        </a:solidFill>
                        <a:ln w="9525">
                          <a:solidFill>
                            <a:srgbClr val="000000"/>
                          </a:solidFill>
                          <a:miter lim="800000"/>
                          <a:headEnd/>
                          <a:tailEnd/>
                        </a:ln>
                      </wps:spPr>
                      <wps:txbx>
                        <w:txbxContent>
                          <w:p w14:paraId="1839FB94" w14:textId="77777777" w:rsidR="003423F3" w:rsidRPr="001606E0" w:rsidRDefault="003423F3" w:rsidP="003423F3">
                            <w:r w:rsidRPr="002C642C">
                              <w:rPr>
                                <w:rFonts w:cs="Arial"/>
                              </w:rPr>
                              <w:t xml:space="preserve">This document is classified as </w:t>
                            </w:r>
                            <w:r w:rsidRPr="002C642C">
                              <w:rPr>
                                <w:rFonts w:cs="Arial"/>
                                <w:b/>
                              </w:rPr>
                              <w:t xml:space="preserve">White </w:t>
                            </w:r>
                            <w:r w:rsidRPr="002C642C">
                              <w:rPr>
                                <w:rFonts w:cs="Arial"/>
                              </w:rPr>
                              <w:t>in accordance with the Panel Information Policy. Information can be shared with the public</w:t>
                            </w:r>
                            <w:r>
                              <w:rPr>
                                <w:rFonts w:cs="Arial"/>
                              </w:rPr>
                              <w:t>,</w:t>
                            </w:r>
                            <w:r w:rsidRPr="002C642C">
                              <w:rPr>
                                <w:rFonts w:cs="Arial"/>
                              </w:rPr>
                              <w:t xml:space="preserve"> and any members may publish the information, subject to copyright</w:t>
                            </w:r>
                            <w:r>
                              <w:t xml:space="preserve">. </w:t>
                            </w:r>
                          </w:p>
                          <w:p w14:paraId="03752441" w14:textId="77777777" w:rsidR="003423F3" w:rsidRPr="003D092C" w:rsidRDefault="003423F3" w:rsidP="003423F3">
                            <w:pP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1CF36B" id="_x0000_t202" coordsize="21600,21600" o:spt="202" path="m,l,21600r21600,l21600,xe">
                <v:stroke joinstyle="miter"/>
                <v:path gradientshapeok="t" o:connecttype="rect"/>
              </v:shapetype>
              <v:shape id="Text Box 2" o:spid="_x0000_s1026" type="#_x0000_t202" style="position:absolute;left:0;text-align:left;margin-left:0;margin-top:0;width:454.4pt;height:36.7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">
                <v:textbox>
                  <w:txbxContent>
                    <w:p w14:paraId="1839FB94" w14:textId="77777777" w:rsidR="003423F3" w:rsidRPr="001606E0" w:rsidRDefault="003423F3" w:rsidP="003423F3">
                      <w:r w:rsidRPr="002C642C">
                        <w:rPr>
                          <w:rFonts w:cs="Arial"/>
                        </w:rPr>
                        <w:t xml:space="preserve">This document is classified as </w:t>
                      </w:r>
                      <w:r w:rsidRPr="002C642C">
                        <w:rPr>
                          <w:rFonts w:cs="Arial"/>
                          <w:b/>
                        </w:rPr>
                        <w:t xml:space="preserve">White </w:t>
                      </w:r>
                      <w:r w:rsidRPr="002C642C">
                        <w:rPr>
                          <w:rFonts w:cs="Arial"/>
                        </w:rPr>
                        <w:t>in accordance with the Panel Information Policy. Information can be shared with the public</w:t>
                      </w:r>
                      <w:r>
                        <w:rPr>
                          <w:rFonts w:cs="Arial"/>
                        </w:rPr>
                        <w:t>,</w:t>
                      </w:r>
                      <w:r w:rsidRPr="002C642C">
                        <w:rPr>
                          <w:rFonts w:cs="Arial"/>
                        </w:rPr>
                        <w:t xml:space="preserve"> and any members may publish the information, subject to copyright</w:t>
                      </w:r>
                      <w:r>
                        <w:t xml:space="preserve">. </w:t>
                      </w:r>
                    </w:p>
                    <w:p w14:paraId="03752441" w14:textId="77777777" w:rsidR="003423F3" w:rsidRPr="003D092C" w:rsidRDefault="003423F3" w:rsidP="003423F3">
                      <w:pPr>
                        <w:rPr>
                          <w:sz w:val="24"/>
                        </w:rPr>
                      </w:pPr>
                    </w:p>
                  </w:txbxContent>
                </v:textbox>
                <w10:wrap type="square" anchorx="margin"/>
              </v:shape>
            </w:pict>
          </mc:Fallback>
        </mc:AlternateContent>
      </w:r>
      <w:r w:rsidR="00A1169C">
        <w:rPr>
          <w:noProof/>
          <w:lang w:eastAsia="en-GB"/>
        </w:rPr>
        <w:t>MP</w:t>
      </w:r>
      <w:r w:rsidR="00F64567">
        <w:rPr>
          <w:noProof/>
          <w:lang w:eastAsia="en-GB"/>
        </w:rPr>
        <w:t>096</w:t>
      </w:r>
      <w:r>
        <w:rPr>
          <w:sz w:val="30"/>
          <w:szCs w:val="30"/>
        </w:rPr>
        <w:t xml:space="preserve"> ‘</w:t>
      </w:r>
      <w:r w:rsidR="00F64567">
        <w:rPr>
          <w:sz w:val="30"/>
          <w:szCs w:val="30"/>
        </w:rPr>
        <w:t>DNO Power Outage Alerts</w:t>
      </w:r>
      <w:r w:rsidR="00A1169C">
        <w:rPr>
          <w:sz w:val="30"/>
          <w:szCs w:val="30"/>
        </w:rPr>
        <w:t>’</w:t>
      </w:r>
    </w:p>
    <w:p w14:paraId="4AF16256" w14:textId="2FB87C93" w:rsidR="00B13710" w:rsidRDefault="00EB60E7" w:rsidP="00B13710">
      <w:pPr>
        <w:pStyle w:val="SECPaperTitle"/>
        <w:spacing w:before="0" w:after="240"/>
        <w:rPr>
          <w:sz w:val="30"/>
          <w:szCs w:val="30"/>
        </w:rPr>
      </w:pPr>
      <w:r>
        <w:rPr>
          <w:sz w:val="30"/>
          <w:szCs w:val="30"/>
        </w:rPr>
        <w:t>September</w:t>
      </w:r>
      <w:r w:rsidR="003B12CA">
        <w:rPr>
          <w:sz w:val="30"/>
          <w:szCs w:val="30"/>
        </w:rPr>
        <w:t xml:space="preserve"> 2021</w:t>
      </w:r>
      <w:r w:rsidR="00B13710">
        <w:rPr>
          <w:sz w:val="30"/>
          <w:szCs w:val="30"/>
        </w:rPr>
        <w:t xml:space="preserve"> </w:t>
      </w:r>
      <w:r w:rsidR="003423F3">
        <w:rPr>
          <w:sz w:val="30"/>
          <w:szCs w:val="30"/>
        </w:rPr>
        <w:t xml:space="preserve">Working Group </w:t>
      </w:r>
      <w:r w:rsidR="000C423C">
        <w:rPr>
          <w:sz w:val="30"/>
          <w:szCs w:val="30"/>
        </w:rPr>
        <w:t xml:space="preserve">– </w:t>
      </w:r>
      <w:r w:rsidR="002A76CA">
        <w:rPr>
          <w:sz w:val="30"/>
          <w:szCs w:val="30"/>
        </w:rPr>
        <w:t>me</w:t>
      </w:r>
      <w:r w:rsidR="003423F3" w:rsidRPr="008E76FA">
        <w:rPr>
          <w:sz w:val="30"/>
          <w:szCs w:val="30"/>
        </w:rPr>
        <w:t>eting</w:t>
      </w:r>
      <w:r w:rsidR="002A76CA">
        <w:rPr>
          <w:sz w:val="30"/>
          <w:szCs w:val="30"/>
        </w:rPr>
        <w:t xml:space="preserve"> summary</w:t>
      </w:r>
    </w:p>
    <w:p w14:paraId="7F4D4C9A" w14:textId="77777777" w:rsidR="00E52377" w:rsidRDefault="00564EBA" w:rsidP="00F556BC">
      <w:pPr>
        <w:pStyle w:val="Subtitle"/>
      </w:pPr>
      <w:r>
        <w:t>Attendees</w:t>
      </w:r>
    </w:p>
    <w:tbl>
      <w:tblPr>
        <w:tblStyle w:val="TableGrid11"/>
        <w:tblW w:w="2906" w:type="pct"/>
        <w:jc w:val="center"/>
        <w:tblInd w:w="0" w:type="dxa"/>
        <w:tblLook w:val="04A0" w:firstRow="1" w:lastRow="0" w:firstColumn="1" w:lastColumn="0" w:noHBand="0" w:noVBand="1"/>
      </w:tblPr>
      <w:tblGrid>
        <w:gridCol w:w="2620"/>
        <w:gridCol w:w="2620"/>
      </w:tblGrid>
      <w:tr w:rsidR="00E52377" w14:paraId="029433A5" w14:textId="77777777" w:rsidTr="00C27C3D">
        <w:trPr>
          <w:trHeight w:val="514"/>
          <w:jc w:val="center"/>
        </w:trPr>
        <w:tc>
          <w:tcPr>
            <w:tcW w:w="2500" w:type="pct"/>
            <w:tcBorders>
              <w:top w:val="single" w:sz="4" w:space="0" w:color="auto"/>
              <w:left w:val="single" w:sz="4" w:space="0" w:color="auto"/>
              <w:bottom w:val="single" w:sz="4" w:space="0" w:color="auto"/>
              <w:right w:val="single" w:sz="4" w:space="0" w:color="auto"/>
            </w:tcBorders>
            <w:shd w:val="clear" w:color="auto" w:fill="17A800"/>
            <w:vAlign w:val="center"/>
            <w:hideMark/>
          </w:tcPr>
          <w:p w14:paraId="5380AE0C" w14:textId="77777777" w:rsidR="00E52377" w:rsidRDefault="00E52377" w:rsidP="00C27C3D">
            <w:pPr>
              <w:jc w:val="center"/>
              <w:rPr>
                <w:rFonts w:cs="Arial"/>
                <w:b/>
                <w:color w:val="FFFFFF"/>
                <w:lang w:eastAsia="en-GB"/>
              </w:rPr>
            </w:pPr>
            <w:r>
              <w:rPr>
                <w:rFonts w:cs="Arial"/>
                <w:b/>
                <w:color w:val="FFFFFF"/>
                <w:lang w:eastAsia="en-GB"/>
              </w:rPr>
              <w:t>Attendee</w:t>
            </w:r>
          </w:p>
        </w:tc>
        <w:tc>
          <w:tcPr>
            <w:tcW w:w="2500" w:type="pct"/>
            <w:tcBorders>
              <w:top w:val="single" w:sz="4" w:space="0" w:color="auto"/>
              <w:left w:val="single" w:sz="4" w:space="0" w:color="auto"/>
              <w:bottom w:val="single" w:sz="4" w:space="0" w:color="auto"/>
              <w:right w:val="single" w:sz="4" w:space="0" w:color="auto"/>
            </w:tcBorders>
            <w:shd w:val="clear" w:color="auto" w:fill="17A800"/>
            <w:vAlign w:val="center"/>
            <w:hideMark/>
          </w:tcPr>
          <w:p w14:paraId="0AA1F72D" w14:textId="77777777" w:rsidR="00E52377" w:rsidRDefault="00E52377" w:rsidP="00C27C3D">
            <w:pPr>
              <w:jc w:val="center"/>
              <w:rPr>
                <w:rFonts w:cs="Arial"/>
                <w:b/>
                <w:color w:val="FFFFFF"/>
                <w:lang w:eastAsia="en-GB"/>
              </w:rPr>
            </w:pPr>
            <w:r>
              <w:rPr>
                <w:rFonts w:cs="Arial"/>
                <w:b/>
                <w:color w:val="FFFFFF"/>
                <w:lang w:eastAsia="en-GB"/>
              </w:rPr>
              <w:t>Organisation</w:t>
            </w:r>
          </w:p>
        </w:tc>
      </w:tr>
      <w:tr w:rsidR="00E52377" w14:paraId="28208D2B" w14:textId="77777777" w:rsidTr="00C27C3D">
        <w:trPr>
          <w:trHeight w:val="285"/>
          <w:jc w:val="center"/>
        </w:trPr>
        <w:tc>
          <w:tcPr>
            <w:tcW w:w="2500" w:type="pct"/>
            <w:tcBorders>
              <w:top w:val="single" w:sz="4" w:space="0" w:color="auto"/>
              <w:left w:val="single" w:sz="4" w:space="0" w:color="auto"/>
              <w:bottom w:val="single" w:sz="4" w:space="0" w:color="auto"/>
              <w:right w:val="single" w:sz="4" w:space="0" w:color="auto"/>
            </w:tcBorders>
            <w:hideMark/>
          </w:tcPr>
          <w:p w14:paraId="0A8E008F" w14:textId="77777777" w:rsidR="00E52377" w:rsidRPr="009117E5" w:rsidRDefault="00E52377" w:rsidP="00C27C3D">
            <w:pPr>
              <w:spacing w:before="30" w:after="30"/>
              <w:rPr>
                <w:rFonts w:eastAsia="Calibri" w:cs="Arial"/>
                <w:color w:val="404040"/>
                <w:szCs w:val="20"/>
                <w:lang w:eastAsia="en-GB"/>
              </w:rPr>
            </w:pPr>
            <w:r w:rsidRPr="009117E5">
              <w:rPr>
                <w:rFonts w:eastAsia="Calibri" w:cs="Arial"/>
                <w:color w:val="404040"/>
                <w:szCs w:val="20"/>
                <w:lang w:eastAsia="en-GB"/>
              </w:rPr>
              <w:t>Ali Beard</w:t>
            </w:r>
          </w:p>
        </w:tc>
        <w:tc>
          <w:tcPr>
            <w:tcW w:w="2500" w:type="pct"/>
            <w:tcBorders>
              <w:top w:val="single" w:sz="4" w:space="0" w:color="auto"/>
              <w:left w:val="single" w:sz="4" w:space="0" w:color="auto"/>
              <w:bottom w:val="single" w:sz="4" w:space="0" w:color="auto"/>
              <w:right w:val="single" w:sz="4" w:space="0" w:color="auto"/>
            </w:tcBorders>
            <w:hideMark/>
          </w:tcPr>
          <w:p w14:paraId="04B82999" w14:textId="77777777" w:rsidR="00E52377" w:rsidRPr="009117E5" w:rsidRDefault="00E52377" w:rsidP="00C27C3D">
            <w:pPr>
              <w:spacing w:before="30" w:after="30"/>
              <w:rPr>
                <w:rFonts w:eastAsia="Calibri" w:cs="Times New Roman"/>
                <w:color w:val="404040"/>
                <w:lang w:eastAsia="en-GB"/>
              </w:rPr>
            </w:pPr>
            <w:r w:rsidRPr="009117E5">
              <w:rPr>
                <w:rFonts w:eastAsia="Calibri" w:cs="Times New Roman"/>
                <w:color w:val="404040"/>
                <w:lang w:eastAsia="en-GB"/>
              </w:rPr>
              <w:t>SECAS</w:t>
            </w:r>
          </w:p>
        </w:tc>
      </w:tr>
      <w:tr w:rsidR="00E52377" w14:paraId="22D1271E" w14:textId="77777777" w:rsidTr="00C27C3D">
        <w:trPr>
          <w:trHeight w:val="285"/>
          <w:jc w:val="center"/>
        </w:trPr>
        <w:tc>
          <w:tcPr>
            <w:tcW w:w="2500" w:type="pct"/>
            <w:tcBorders>
              <w:top w:val="single" w:sz="4" w:space="0" w:color="auto"/>
              <w:left w:val="single" w:sz="4" w:space="0" w:color="auto"/>
              <w:bottom w:val="single" w:sz="4" w:space="0" w:color="auto"/>
              <w:right w:val="single" w:sz="4" w:space="0" w:color="auto"/>
            </w:tcBorders>
            <w:hideMark/>
          </w:tcPr>
          <w:p w14:paraId="03D476DB" w14:textId="2EA5B976" w:rsidR="00E52377" w:rsidRPr="009117E5" w:rsidRDefault="00EB60E7" w:rsidP="00C27C3D">
            <w:pPr>
              <w:spacing w:before="30" w:after="30"/>
              <w:rPr>
                <w:rFonts w:eastAsia="Calibri" w:cs="Arial"/>
                <w:color w:val="404040"/>
                <w:szCs w:val="20"/>
                <w:lang w:eastAsia="en-GB"/>
              </w:rPr>
            </w:pPr>
            <w:r>
              <w:rPr>
                <w:rFonts w:eastAsia="Calibri" w:cs="Arial"/>
                <w:color w:val="404040"/>
                <w:szCs w:val="20"/>
                <w:lang w:eastAsia="en-GB"/>
              </w:rPr>
              <w:t>Mike Fenn</w:t>
            </w:r>
          </w:p>
        </w:tc>
        <w:tc>
          <w:tcPr>
            <w:tcW w:w="2500" w:type="pct"/>
            <w:tcBorders>
              <w:top w:val="single" w:sz="4" w:space="0" w:color="auto"/>
              <w:left w:val="single" w:sz="4" w:space="0" w:color="auto"/>
              <w:bottom w:val="single" w:sz="4" w:space="0" w:color="auto"/>
              <w:right w:val="single" w:sz="4" w:space="0" w:color="auto"/>
            </w:tcBorders>
            <w:hideMark/>
          </w:tcPr>
          <w:p w14:paraId="08E0600A" w14:textId="77777777" w:rsidR="00E52377" w:rsidRPr="009117E5" w:rsidRDefault="00E52377" w:rsidP="00C27C3D">
            <w:pPr>
              <w:spacing w:before="30" w:after="30"/>
              <w:rPr>
                <w:rFonts w:eastAsia="Calibri" w:cs="Times New Roman"/>
                <w:color w:val="404040"/>
                <w:lang w:eastAsia="en-GB"/>
              </w:rPr>
            </w:pPr>
            <w:r w:rsidRPr="009117E5">
              <w:rPr>
                <w:rFonts w:eastAsia="Calibri" w:cs="Times New Roman"/>
                <w:color w:val="404040"/>
                <w:lang w:eastAsia="en-GB"/>
              </w:rPr>
              <w:t>SECAS</w:t>
            </w:r>
          </w:p>
        </w:tc>
      </w:tr>
      <w:tr w:rsidR="00E52377" w14:paraId="0DF50F39" w14:textId="77777777" w:rsidTr="00C27C3D">
        <w:trPr>
          <w:trHeight w:val="285"/>
          <w:jc w:val="center"/>
        </w:trPr>
        <w:tc>
          <w:tcPr>
            <w:tcW w:w="2500" w:type="pct"/>
            <w:tcBorders>
              <w:top w:val="single" w:sz="4" w:space="0" w:color="auto"/>
              <w:left w:val="single" w:sz="4" w:space="0" w:color="auto"/>
              <w:bottom w:val="single" w:sz="4" w:space="0" w:color="auto"/>
              <w:right w:val="single" w:sz="4" w:space="0" w:color="auto"/>
            </w:tcBorders>
            <w:hideMark/>
          </w:tcPr>
          <w:p w14:paraId="26F5CC15" w14:textId="77777777" w:rsidR="00E52377" w:rsidRPr="009117E5" w:rsidRDefault="00E52377" w:rsidP="00C27C3D">
            <w:pPr>
              <w:spacing w:before="30" w:after="30"/>
              <w:rPr>
                <w:rFonts w:cs="Arial"/>
                <w:color w:val="404040"/>
                <w:szCs w:val="20"/>
                <w:lang w:eastAsia="en-GB"/>
              </w:rPr>
            </w:pPr>
            <w:r w:rsidRPr="009117E5">
              <w:rPr>
                <w:rFonts w:cs="Arial"/>
                <w:color w:val="404040"/>
                <w:szCs w:val="20"/>
                <w:lang w:eastAsia="en-GB"/>
              </w:rPr>
              <w:t>Bradley Baker</w:t>
            </w:r>
          </w:p>
        </w:tc>
        <w:tc>
          <w:tcPr>
            <w:tcW w:w="2500" w:type="pct"/>
            <w:tcBorders>
              <w:top w:val="single" w:sz="4" w:space="0" w:color="auto"/>
              <w:left w:val="single" w:sz="4" w:space="0" w:color="auto"/>
              <w:bottom w:val="single" w:sz="4" w:space="0" w:color="auto"/>
              <w:right w:val="single" w:sz="4" w:space="0" w:color="auto"/>
            </w:tcBorders>
            <w:hideMark/>
          </w:tcPr>
          <w:p w14:paraId="3EA2FDF2" w14:textId="77777777" w:rsidR="00E52377" w:rsidRPr="009117E5" w:rsidRDefault="00E52377" w:rsidP="00C27C3D">
            <w:pPr>
              <w:spacing w:before="30" w:after="30"/>
              <w:rPr>
                <w:rFonts w:cs="Times New Roman"/>
                <w:color w:val="404040"/>
                <w:lang w:eastAsia="en-GB"/>
              </w:rPr>
            </w:pPr>
            <w:r w:rsidRPr="009117E5">
              <w:rPr>
                <w:rFonts w:cs="Times New Roman"/>
                <w:color w:val="404040"/>
                <w:lang w:eastAsia="en-GB"/>
              </w:rPr>
              <w:t>SECAS</w:t>
            </w:r>
          </w:p>
        </w:tc>
      </w:tr>
      <w:tr w:rsidR="00E52377" w14:paraId="40AB528C" w14:textId="77777777" w:rsidTr="00C27C3D">
        <w:trPr>
          <w:trHeight w:val="285"/>
          <w:jc w:val="center"/>
        </w:trPr>
        <w:tc>
          <w:tcPr>
            <w:tcW w:w="2500" w:type="pct"/>
            <w:tcBorders>
              <w:top w:val="single" w:sz="4" w:space="0" w:color="auto"/>
              <w:left w:val="single" w:sz="4" w:space="0" w:color="auto"/>
              <w:bottom w:val="single" w:sz="4" w:space="0" w:color="auto"/>
              <w:right w:val="single" w:sz="4" w:space="0" w:color="auto"/>
            </w:tcBorders>
            <w:hideMark/>
          </w:tcPr>
          <w:p w14:paraId="58B589F6" w14:textId="77777777" w:rsidR="00E52377" w:rsidRPr="009117E5" w:rsidRDefault="00E52377" w:rsidP="00C27C3D">
            <w:pPr>
              <w:spacing w:before="30" w:after="30"/>
              <w:rPr>
                <w:rFonts w:cs="Arial"/>
                <w:color w:val="404040"/>
                <w:szCs w:val="20"/>
                <w:lang w:eastAsia="en-GB"/>
              </w:rPr>
            </w:pPr>
            <w:r w:rsidRPr="009117E5">
              <w:rPr>
                <w:rFonts w:cs="Arial"/>
                <w:color w:val="404040"/>
                <w:szCs w:val="20"/>
                <w:lang w:eastAsia="en-GB"/>
              </w:rPr>
              <w:t>Kev Duddy</w:t>
            </w:r>
          </w:p>
        </w:tc>
        <w:tc>
          <w:tcPr>
            <w:tcW w:w="2500" w:type="pct"/>
            <w:tcBorders>
              <w:top w:val="single" w:sz="4" w:space="0" w:color="auto"/>
              <w:left w:val="single" w:sz="4" w:space="0" w:color="auto"/>
              <w:bottom w:val="single" w:sz="4" w:space="0" w:color="auto"/>
              <w:right w:val="single" w:sz="4" w:space="0" w:color="auto"/>
            </w:tcBorders>
            <w:hideMark/>
          </w:tcPr>
          <w:p w14:paraId="477A7A1C" w14:textId="77777777" w:rsidR="00E52377" w:rsidRPr="009117E5" w:rsidRDefault="00E52377" w:rsidP="00C27C3D">
            <w:pPr>
              <w:spacing w:before="30" w:after="30"/>
              <w:rPr>
                <w:rFonts w:cs="Times New Roman"/>
                <w:color w:val="404040"/>
                <w:lang w:eastAsia="en-GB"/>
              </w:rPr>
            </w:pPr>
            <w:r w:rsidRPr="009117E5">
              <w:rPr>
                <w:rFonts w:cs="Times New Roman"/>
                <w:color w:val="404040"/>
                <w:lang w:eastAsia="en-GB"/>
              </w:rPr>
              <w:t>SECAS</w:t>
            </w:r>
          </w:p>
        </w:tc>
      </w:tr>
      <w:tr w:rsidR="00E52377" w14:paraId="536038F2" w14:textId="77777777" w:rsidTr="00C27C3D">
        <w:trPr>
          <w:trHeight w:val="285"/>
          <w:jc w:val="center"/>
        </w:trPr>
        <w:tc>
          <w:tcPr>
            <w:tcW w:w="2500" w:type="pct"/>
            <w:tcBorders>
              <w:top w:val="single" w:sz="4" w:space="0" w:color="auto"/>
              <w:left w:val="single" w:sz="4" w:space="0" w:color="auto"/>
              <w:bottom w:val="single" w:sz="4" w:space="0" w:color="auto"/>
              <w:right w:val="single" w:sz="4" w:space="0" w:color="auto"/>
            </w:tcBorders>
            <w:hideMark/>
          </w:tcPr>
          <w:p w14:paraId="72CE8CC3" w14:textId="77777777" w:rsidR="00E52377" w:rsidRPr="009117E5" w:rsidRDefault="00E52377" w:rsidP="00C27C3D">
            <w:pPr>
              <w:spacing w:before="30" w:after="30"/>
              <w:rPr>
                <w:rFonts w:cs="Arial"/>
                <w:color w:val="404040"/>
                <w:szCs w:val="20"/>
                <w:lang w:eastAsia="en-GB"/>
              </w:rPr>
            </w:pPr>
            <w:r w:rsidRPr="009117E5">
              <w:rPr>
                <w:rFonts w:cs="Arial"/>
                <w:color w:val="404040"/>
                <w:szCs w:val="20"/>
                <w:lang w:eastAsia="en-GB"/>
              </w:rPr>
              <w:t>Joey Manners</w:t>
            </w:r>
            <w:r>
              <w:rPr>
                <w:rFonts w:cs="Arial"/>
                <w:color w:val="404040"/>
                <w:szCs w:val="20"/>
                <w:lang w:eastAsia="en-GB"/>
              </w:rPr>
              <w:t xml:space="preserve"> </w:t>
            </w:r>
          </w:p>
        </w:tc>
        <w:tc>
          <w:tcPr>
            <w:tcW w:w="2500" w:type="pct"/>
            <w:tcBorders>
              <w:top w:val="single" w:sz="4" w:space="0" w:color="auto"/>
              <w:left w:val="single" w:sz="4" w:space="0" w:color="auto"/>
              <w:bottom w:val="single" w:sz="4" w:space="0" w:color="auto"/>
              <w:right w:val="single" w:sz="4" w:space="0" w:color="auto"/>
            </w:tcBorders>
            <w:hideMark/>
          </w:tcPr>
          <w:p w14:paraId="78FB14F7" w14:textId="77777777" w:rsidR="00E52377" w:rsidRPr="009117E5" w:rsidRDefault="00E52377" w:rsidP="00C27C3D">
            <w:pPr>
              <w:spacing w:before="30" w:after="30"/>
              <w:rPr>
                <w:rFonts w:cs="Times New Roman"/>
                <w:color w:val="404040"/>
                <w:lang w:eastAsia="en-GB"/>
              </w:rPr>
            </w:pPr>
            <w:r w:rsidRPr="009117E5">
              <w:rPr>
                <w:rFonts w:cs="Times New Roman"/>
                <w:color w:val="404040"/>
                <w:lang w:eastAsia="en-GB"/>
              </w:rPr>
              <w:t>SECAS</w:t>
            </w:r>
          </w:p>
        </w:tc>
      </w:tr>
      <w:tr w:rsidR="00E52377" w14:paraId="07E61C9C" w14:textId="77777777" w:rsidTr="00C27C3D">
        <w:trPr>
          <w:trHeight w:val="285"/>
          <w:jc w:val="center"/>
        </w:trPr>
        <w:tc>
          <w:tcPr>
            <w:tcW w:w="2500" w:type="pct"/>
            <w:tcBorders>
              <w:top w:val="single" w:sz="4" w:space="0" w:color="auto"/>
              <w:left w:val="single" w:sz="4" w:space="0" w:color="auto"/>
              <w:bottom w:val="single" w:sz="4" w:space="0" w:color="auto"/>
              <w:right w:val="single" w:sz="4" w:space="0" w:color="auto"/>
            </w:tcBorders>
            <w:hideMark/>
          </w:tcPr>
          <w:p w14:paraId="2D758770" w14:textId="04D6BE8E" w:rsidR="00E52377" w:rsidRPr="009117E5" w:rsidRDefault="00EB60E7" w:rsidP="00C27C3D">
            <w:pPr>
              <w:spacing w:before="30" w:after="30"/>
              <w:rPr>
                <w:rFonts w:cs="Arial"/>
                <w:color w:val="404040"/>
                <w:szCs w:val="20"/>
                <w:lang w:eastAsia="en-GB"/>
              </w:rPr>
            </w:pPr>
            <w:r>
              <w:rPr>
                <w:rFonts w:cs="Arial"/>
                <w:color w:val="404040"/>
                <w:szCs w:val="20"/>
                <w:lang w:eastAsia="en-GB"/>
              </w:rPr>
              <w:t>Del Kang</w:t>
            </w:r>
          </w:p>
        </w:tc>
        <w:tc>
          <w:tcPr>
            <w:tcW w:w="2500" w:type="pct"/>
            <w:tcBorders>
              <w:top w:val="single" w:sz="4" w:space="0" w:color="auto"/>
              <w:left w:val="single" w:sz="4" w:space="0" w:color="auto"/>
              <w:bottom w:val="single" w:sz="4" w:space="0" w:color="auto"/>
              <w:right w:val="single" w:sz="4" w:space="0" w:color="auto"/>
            </w:tcBorders>
            <w:hideMark/>
          </w:tcPr>
          <w:p w14:paraId="10D9A044" w14:textId="77777777" w:rsidR="00E52377" w:rsidRPr="009117E5" w:rsidRDefault="00E52377" w:rsidP="00C27C3D">
            <w:pPr>
              <w:spacing w:before="30" w:after="30"/>
              <w:rPr>
                <w:rFonts w:cs="Times New Roman"/>
                <w:color w:val="404040"/>
                <w:lang w:eastAsia="en-GB"/>
              </w:rPr>
            </w:pPr>
            <w:r w:rsidRPr="009117E5">
              <w:rPr>
                <w:rFonts w:cs="Times New Roman"/>
                <w:color w:val="404040"/>
                <w:lang w:eastAsia="en-GB"/>
              </w:rPr>
              <w:t>DCC</w:t>
            </w:r>
          </w:p>
        </w:tc>
      </w:tr>
      <w:tr w:rsidR="00E52377" w14:paraId="7E076299" w14:textId="77777777" w:rsidTr="00C27C3D">
        <w:trPr>
          <w:trHeight w:val="285"/>
          <w:jc w:val="center"/>
        </w:trPr>
        <w:tc>
          <w:tcPr>
            <w:tcW w:w="2500" w:type="pct"/>
            <w:tcBorders>
              <w:top w:val="single" w:sz="4" w:space="0" w:color="auto"/>
              <w:left w:val="single" w:sz="4" w:space="0" w:color="auto"/>
              <w:bottom w:val="single" w:sz="4" w:space="0" w:color="auto"/>
              <w:right w:val="single" w:sz="4" w:space="0" w:color="auto"/>
            </w:tcBorders>
            <w:hideMark/>
          </w:tcPr>
          <w:p w14:paraId="21E4403A" w14:textId="77777777" w:rsidR="00E52377" w:rsidRPr="009117E5" w:rsidRDefault="00E52377" w:rsidP="00C27C3D">
            <w:pPr>
              <w:spacing w:before="30" w:after="30"/>
              <w:rPr>
                <w:rFonts w:cs="Arial"/>
                <w:color w:val="404040"/>
                <w:szCs w:val="20"/>
                <w:lang w:eastAsia="en-GB"/>
              </w:rPr>
            </w:pPr>
            <w:r w:rsidRPr="009117E5">
              <w:rPr>
                <w:rFonts w:cs="Arial"/>
                <w:color w:val="404040"/>
                <w:szCs w:val="20"/>
                <w:lang w:eastAsia="en-GB"/>
              </w:rPr>
              <w:t>Remi Oluwabamise</w:t>
            </w:r>
          </w:p>
        </w:tc>
        <w:tc>
          <w:tcPr>
            <w:tcW w:w="2500" w:type="pct"/>
            <w:tcBorders>
              <w:top w:val="single" w:sz="4" w:space="0" w:color="auto"/>
              <w:left w:val="single" w:sz="4" w:space="0" w:color="auto"/>
              <w:bottom w:val="single" w:sz="4" w:space="0" w:color="auto"/>
              <w:right w:val="single" w:sz="4" w:space="0" w:color="auto"/>
            </w:tcBorders>
            <w:hideMark/>
          </w:tcPr>
          <w:p w14:paraId="4C80A359" w14:textId="77777777" w:rsidR="00E52377" w:rsidRPr="009117E5" w:rsidRDefault="00E52377" w:rsidP="00C27C3D">
            <w:pPr>
              <w:spacing w:before="30" w:after="30"/>
              <w:rPr>
                <w:rFonts w:cs="Times New Roman"/>
                <w:color w:val="404040"/>
                <w:lang w:eastAsia="en-GB"/>
              </w:rPr>
            </w:pPr>
            <w:r w:rsidRPr="009117E5">
              <w:rPr>
                <w:rFonts w:cs="Times New Roman"/>
                <w:color w:val="404040"/>
                <w:lang w:eastAsia="en-GB"/>
              </w:rPr>
              <w:t>DCC</w:t>
            </w:r>
          </w:p>
        </w:tc>
      </w:tr>
      <w:tr w:rsidR="00E52377" w14:paraId="65046309" w14:textId="77777777" w:rsidTr="00C27C3D">
        <w:trPr>
          <w:trHeight w:val="285"/>
          <w:jc w:val="center"/>
        </w:trPr>
        <w:tc>
          <w:tcPr>
            <w:tcW w:w="2500" w:type="pct"/>
            <w:tcBorders>
              <w:top w:val="single" w:sz="4" w:space="0" w:color="auto"/>
              <w:left w:val="single" w:sz="4" w:space="0" w:color="auto"/>
              <w:bottom w:val="single" w:sz="4" w:space="0" w:color="auto"/>
              <w:right w:val="single" w:sz="4" w:space="0" w:color="auto"/>
            </w:tcBorders>
            <w:hideMark/>
          </w:tcPr>
          <w:p w14:paraId="7C5E7C8B" w14:textId="77777777" w:rsidR="00E52377" w:rsidRPr="009117E5" w:rsidRDefault="00E52377" w:rsidP="00C27C3D">
            <w:pPr>
              <w:spacing w:before="30" w:after="30"/>
              <w:rPr>
                <w:rFonts w:cs="Arial"/>
                <w:color w:val="404040"/>
                <w:szCs w:val="20"/>
                <w:lang w:eastAsia="en-GB"/>
              </w:rPr>
            </w:pPr>
            <w:r w:rsidRPr="009117E5">
              <w:rPr>
                <w:rFonts w:cs="Arial"/>
                <w:color w:val="404040"/>
                <w:szCs w:val="20"/>
                <w:lang w:eastAsia="en-GB"/>
              </w:rPr>
              <w:t>Charlotte Semp</w:t>
            </w:r>
          </w:p>
        </w:tc>
        <w:tc>
          <w:tcPr>
            <w:tcW w:w="2500" w:type="pct"/>
            <w:tcBorders>
              <w:top w:val="single" w:sz="4" w:space="0" w:color="auto"/>
              <w:left w:val="single" w:sz="4" w:space="0" w:color="auto"/>
              <w:bottom w:val="single" w:sz="4" w:space="0" w:color="auto"/>
              <w:right w:val="single" w:sz="4" w:space="0" w:color="auto"/>
            </w:tcBorders>
            <w:hideMark/>
          </w:tcPr>
          <w:p w14:paraId="4FDCCF2A" w14:textId="77777777" w:rsidR="00E52377" w:rsidRPr="009117E5" w:rsidRDefault="00E52377" w:rsidP="00C27C3D">
            <w:pPr>
              <w:spacing w:before="30" w:after="30"/>
              <w:rPr>
                <w:rFonts w:cs="Times New Roman"/>
                <w:color w:val="404040"/>
                <w:lang w:eastAsia="en-GB"/>
              </w:rPr>
            </w:pPr>
            <w:r w:rsidRPr="009117E5">
              <w:rPr>
                <w:rFonts w:cs="Times New Roman"/>
                <w:color w:val="404040"/>
                <w:lang w:eastAsia="en-GB"/>
              </w:rPr>
              <w:t>DCC</w:t>
            </w:r>
          </w:p>
        </w:tc>
      </w:tr>
      <w:tr w:rsidR="00E52377" w14:paraId="5E3739C4" w14:textId="77777777" w:rsidTr="00C27C3D">
        <w:trPr>
          <w:trHeight w:val="285"/>
          <w:jc w:val="center"/>
        </w:trPr>
        <w:tc>
          <w:tcPr>
            <w:tcW w:w="2500" w:type="pct"/>
            <w:tcBorders>
              <w:top w:val="single" w:sz="4" w:space="0" w:color="auto"/>
              <w:left w:val="single" w:sz="4" w:space="0" w:color="auto"/>
              <w:bottom w:val="single" w:sz="4" w:space="0" w:color="auto"/>
              <w:right w:val="single" w:sz="4" w:space="0" w:color="auto"/>
            </w:tcBorders>
            <w:hideMark/>
          </w:tcPr>
          <w:p w14:paraId="745835DF" w14:textId="77777777" w:rsidR="00E52377" w:rsidRPr="009117E5" w:rsidRDefault="00E52377" w:rsidP="00C27C3D">
            <w:pPr>
              <w:spacing w:before="30" w:after="30"/>
              <w:rPr>
                <w:rFonts w:cs="Arial"/>
                <w:color w:val="404040"/>
                <w:szCs w:val="20"/>
                <w:lang w:eastAsia="en-GB"/>
              </w:rPr>
            </w:pPr>
            <w:r w:rsidRPr="009117E5">
              <w:rPr>
                <w:rFonts w:cs="Arial"/>
                <w:color w:val="404040"/>
                <w:szCs w:val="20"/>
                <w:lang w:eastAsia="en-GB"/>
              </w:rPr>
              <w:t>David Walsh</w:t>
            </w:r>
          </w:p>
        </w:tc>
        <w:tc>
          <w:tcPr>
            <w:tcW w:w="2500" w:type="pct"/>
            <w:tcBorders>
              <w:top w:val="single" w:sz="4" w:space="0" w:color="auto"/>
              <w:left w:val="single" w:sz="4" w:space="0" w:color="auto"/>
              <w:bottom w:val="single" w:sz="4" w:space="0" w:color="auto"/>
              <w:right w:val="single" w:sz="4" w:space="0" w:color="auto"/>
            </w:tcBorders>
            <w:hideMark/>
          </w:tcPr>
          <w:p w14:paraId="77179189" w14:textId="77777777" w:rsidR="00E52377" w:rsidRPr="009117E5" w:rsidRDefault="00E52377" w:rsidP="00C27C3D">
            <w:pPr>
              <w:spacing w:before="30" w:after="30"/>
              <w:rPr>
                <w:rFonts w:cs="Times New Roman"/>
                <w:color w:val="404040"/>
                <w:lang w:eastAsia="en-GB"/>
              </w:rPr>
            </w:pPr>
            <w:r w:rsidRPr="009117E5">
              <w:rPr>
                <w:rFonts w:cs="Times New Roman"/>
                <w:color w:val="404040"/>
                <w:lang w:eastAsia="en-GB"/>
              </w:rPr>
              <w:t>DCC</w:t>
            </w:r>
          </w:p>
        </w:tc>
      </w:tr>
      <w:tr w:rsidR="00E52377" w14:paraId="65394354" w14:textId="77777777" w:rsidTr="00C27C3D">
        <w:trPr>
          <w:trHeight w:val="285"/>
          <w:jc w:val="center"/>
        </w:trPr>
        <w:tc>
          <w:tcPr>
            <w:tcW w:w="2500" w:type="pct"/>
            <w:tcBorders>
              <w:top w:val="single" w:sz="4" w:space="0" w:color="auto"/>
              <w:left w:val="single" w:sz="4" w:space="0" w:color="auto"/>
              <w:bottom w:val="single" w:sz="4" w:space="0" w:color="auto"/>
              <w:right w:val="single" w:sz="4" w:space="0" w:color="auto"/>
            </w:tcBorders>
          </w:tcPr>
          <w:p w14:paraId="07AFFDEE" w14:textId="7FDF059C" w:rsidR="00E52377" w:rsidRPr="009117E5" w:rsidRDefault="00EB60E7" w:rsidP="00C27C3D">
            <w:pPr>
              <w:spacing w:before="30" w:after="30"/>
              <w:rPr>
                <w:rFonts w:cs="Arial"/>
                <w:color w:val="404040"/>
                <w:szCs w:val="20"/>
                <w:lang w:eastAsia="en-GB"/>
              </w:rPr>
            </w:pPr>
            <w:proofErr w:type="spellStart"/>
            <w:r>
              <w:rPr>
                <w:rFonts w:cs="Arial"/>
                <w:color w:val="404040"/>
                <w:szCs w:val="20"/>
                <w:lang w:eastAsia="en-GB"/>
              </w:rPr>
              <w:t>Tosin</w:t>
            </w:r>
            <w:proofErr w:type="spellEnd"/>
            <w:r>
              <w:rPr>
                <w:rFonts w:cs="Arial"/>
                <w:color w:val="404040"/>
                <w:szCs w:val="20"/>
                <w:lang w:eastAsia="en-GB"/>
              </w:rPr>
              <w:t xml:space="preserve"> Adeoye</w:t>
            </w:r>
          </w:p>
        </w:tc>
        <w:tc>
          <w:tcPr>
            <w:tcW w:w="2500" w:type="pct"/>
            <w:tcBorders>
              <w:top w:val="single" w:sz="4" w:space="0" w:color="auto"/>
              <w:left w:val="single" w:sz="4" w:space="0" w:color="auto"/>
              <w:bottom w:val="single" w:sz="4" w:space="0" w:color="auto"/>
              <w:right w:val="single" w:sz="4" w:space="0" w:color="auto"/>
            </w:tcBorders>
          </w:tcPr>
          <w:p w14:paraId="05AD5241" w14:textId="77777777" w:rsidR="00E52377" w:rsidRPr="009117E5" w:rsidRDefault="00E52377" w:rsidP="00C27C3D">
            <w:pPr>
              <w:spacing w:before="30" w:after="30"/>
              <w:rPr>
                <w:rFonts w:cs="Times New Roman"/>
                <w:color w:val="404040"/>
                <w:lang w:eastAsia="en-GB"/>
              </w:rPr>
            </w:pPr>
            <w:r>
              <w:rPr>
                <w:rFonts w:cs="Times New Roman"/>
                <w:color w:val="404040"/>
                <w:lang w:eastAsia="en-GB"/>
              </w:rPr>
              <w:t>DCC</w:t>
            </w:r>
          </w:p>
        </w:tc>
      </w:tr>
      <w:tr w:rsidR="00EB60E7" w14:paraId="665BA723" w14:textId="77777777" w:rsidTr="00C27C3D">
        <w:trPr>
          <w:trHeight w:val="285"/>
          <w:jc w:val="center"/>
        </w:trPr>
        <w:tc>
          <w:tcPr>
            <w:tcW w:w="2500" w:type="pct"/>
            <w:tcBorders>
              <w:top w:val="single" w:sz="4" w:space="0" w:color="auto"/>
              <w:left w:val="single" w:sz="4" w:space="0" w:color="auto"/>
              <w:bottom w:val="single" w:sz="4" w:space="0" w:color="auto"/>
              <w:right w:val="single" w:sz="4" w:space="0" w:color="auto"/>
            </w:tcBorders>
          </w:tcPr>
          <w:p w14:paraId="1241C4C6" w14:textId="33E60211" w:rsidR="00EB60E7" w:rsidRDefault="00EB60E7" w:rsidP="00C27C3D">
            <w:pPr>
              <w:spacing w:before="30" w:after="30"/>
              <w:rPr>
                <w:rFonts w:cs="Arial"/>
                <w:color w:val="404040"/>
                <w:szCs w:val="20"/>
                <w:lang w:eastAsia="en-GB"/>
              </w:rPr>
            </w:pPr>
            <w:r>
              <w:rPr>
                <w:rFonts w:cs="Arial"/>
                <w:color w:val="404040"/>
                <w:szCs w:val="20"/>
                <w:lang w:eastAsia="en-GB"/>
              </w:rPr>
              <w:t>Arlene Brown</w:t>
            </w:r>
          </w:p>
        </w:tc>
        <w:tc>
          <w:tcPr>
            <w:tcW w:w="2500" w:type="pct"/>
            <w:tcBorders>
              <w:top w:val="single" w:sz="4" w:space="0" w:color="auto"/>
              <w:left w:val="single" w:sz="4" w:space="0" w:color="auto"/>
              <w:bottom w:val="single" w:sz="4" w:space="0" w:color="auto"/>
              <w:right w:val="single" w:sz="4" w:space="0" w:color="auto"/>
            </w:tcBorders>
          </w:tcPr>
          <w:p w14:paraId="0026AA30" w14:textId="0DAEE66D" w:rsidR="00EB60E7" w:rsidRDefault="00EB60E7" w:rsidP="00C27C3D">
            <w:pPr>
              <w:spacing w:before="30" w:after="30"/>
              <w:rPr>
                <w:rFonts w:cs="Times New Roman"/>
                <w:color w:val="404040"/>
                <w:lang w:eastAsia="en-GB"/>
              </w:rPr>
            </w:pPr>
            <w:r>
              <w:rPr>
                <w:rFonts w:cs="Times New Roman"/>
                <w:color w:val="404040"/>
                <w:lang w:eastAsia="en-GB"/>
              </w:rPr>
              <w:t>DCC</w:t>
            </w:r>
          </w:p>
        </w:tc>
      </w:tr>
      <w:tr w:rsidR="00EB60E7" w14:paraId="3CA21A57" w14:textId="77777777" w:rsidTr="00C27C3D">
        <w:trPr>
          <w:trHeight w:val="285"/>
          <w:jc w:val="center"/>
        </w:trPr>
        <w:tc>
          <w:tcPr>
            <w:tcW w:w="2500" w:type="pct"/>
            <w:tcBorders>
              <w:top w:val="single" w:sz="4" w:space="0" w:color="auto"/>
              <w:left w:val="single" w:sz="4" w:space="0" w:color="auto"/>
              <w:bottom w:val="single" w:sz="4" w:space="0" w:color="auto"/>
              <w:right w:val="single" w:sz="4" w:space="0" w:color="auto"/>
            </w:tcBorders>
          </w:tcPr>
          <w:p w14:paraId="645180DC" w14:textId="214DC6CD" w:rsidR="00EB60E7" w:rsidRDefault="00EB60E7" w:rsidP="00C27C3D">
            <w:pPr>
              <w:spacing w:before="30" w:after="30"/>
              <w:rPr>
                <w:rFonts w:cs="Arial"/>
                <w:color w:val="404040"/>
                <w:szCs w:val="20"/>
                <w:lang w:eastAsia="en-GB"/>
              </w:rPr>
            </w:pPr>
            <w:r>
              <w:rPr>
                <w:rFonts w:cs="Arial"/>
                <w:color w:val="404040"/>
                <w:szCs w:val="20"/>
                <w:lang w:eastAsia="en-GB"/>
              </w:rPr>
              <w:t>Pankaj Jain</w:t>
            </w:r>
          </w:p>
        </w:tc>
        <w:tc>
          <w:tcPr>
            <w:tcW w:w="2500" w:type="pct"/>
            <w:tcBorders>
              <w:top w:val="single" w:sz="4" w:space="0" w:color="auto"/>
              <w:left w:val="single" w:sz="4" w:space="0" w:color="auto"/>
              <w:bottom w:val="single" w:sz="4" w:space="0" w:color="auto"/>
              <w:right w:val="single" w:sz="4" w:space="0" w:color="auto"/>
            </w:tcBorders>
          </w:tcPr>
          <w:p w14:paraId="25C97534" w14:textId="5E59570E" w:rsidR="00EB60E7" w:rsidRDefault="00EB60E7" w:rsidP="00C27C3D">
            <w:pPr>
              <w:spacing w:before="30" w:after="30"/>
              <w:rPr>
                <w:rFonts w:cs="Times New Roman"/>
                <w:color w:val="404040"/>
                <w:lang w:eastAsia="en-GB"/>
              </w:rPr>
            </w:pPr>
            <w:r>
              <w:rPr>
                <w:rFonts w:cs="Times New Roman"/>
                <w:color w:val="404040"/>
                <w:lang w:eastAsia="en-GB"/>
              </w:rPr>
              <w:t>DCC</w:t>
            </w:r>
          </w:p>
        </w:tc>
      </w:tr>
      <w:tr w:rsidR="00EB60E7" w14:paraId="674523F7" w14:textId="77777777" w:rsidTr="00C27C3D">
        <w:trPr>
          <w:trHeight w:val="285"/>
          <w:jc w:val="center"/>
        </w:trPr>
        <w:tc>
          <w:tcPr>
            <w:tcW w:w="2500" w:type="pct"/>
            <w:tcBorders>
              <w:top w:val="single" w:sz="4" w:space="0" w:color="auto"/>
              <w:left w:val="single" w:sz="4" w:space="0" w:color="auto"/>
              <w:bottom w:val="single" w:sz="4" w:space="0" w:color="auto"/>
              <w:right w:val="single" w:sz="4" w:space="0" w:color="auto"/>
            </w:tcBorders>
          </w:tcPr>
          <w:p w14:paraId="2C7250CC" w14:textId="0D2C151B" w:rsidR="00EB60E7" w:rsidRDefault="00EB60E7" w:rsidP="00C27C3D">
            <w:pPr>
              <w:spacing w:before="30" w:after="30"/>
              <w:rPr>
                <w:rFonts w:cs="Arial"/>
                <w:color w:val="404040"/>
                <w:szCs w:val="20"/>
                <w:lang w:eastAsia="en-GB"/>
              </w:rPr>
            </w:pPr>
            <w:r>
              <w:rPr>
                <w:rFonts w:cs="Arial"/>
                <w:color w:val="404040"/>
                <w:szCs w:val="20"/>
                <w:lang w:eastAsia="en-GB"/>
              </w:rPr>
              <w:t>Nathan Williams</w:t>
            </w:r>
          </w:p>
        </w:tc>
        <w:tc>
          <w:tcPr>
            <w:tcW w:w="2500" w:type="pct"/>
            <w:tcBorders>
              <w:top w:val="single" w:sz="4" w:space="0" w:color="auto"/>
              <w:left w:val="single" w:sz="4" w:space="0" w:color="auto"/>
              <w:bottom w:val="single" w:sz="4" w:space="0" w:color="auto"/>
              <w:right w:val="single" w:sz="4" w:space="0" w:color="auto"/>
            </w:tcBorders>
          </w:tcPr>
          <w:p w14:paraId="38927FFF" w14:textId="1C9DB64A" w:rsidR="00EB60E7" w:rsidRDefault="00EB60E7" w:rsidP="00C27C3D">
            <w:pPr>
              <w:spacing w:before="30" w:after="30"/>
              <w:rPr>
                <w:rFonts w:cs="Times New Roman"/>
                <w:color w:val="404040"/>
                <w:lang w:eastAsia="en-GB"/>
              </w:rPr>
            </w:pPr>
            <w:r>
              <w:rPr>
                <w:rFonts w:cs="Times New Roman"/>
                <w:color w:val="404040"/>
                <w:lang w:eastAsia="en-GB"/>
              </w:rPr>
              <w:t>DCC</w:t>
            </w:r>
          </w:p>
        </w:tc>
      </w:tr>
      <w:tr w:rsidR="00EB60E7" w14:paraId="54B33F22" w14:textId="77777777" w:rsidTr="00C27C3D">
        <w:trPr>
          <w:trHeight w:val="285"/>
          <w:jc w:val="center"/>
        </w:trPr>
        <w:tc>
          <w:tcPr>
            <w:tcW w:w="2500" w:type="pct"/>
            <w:tcBorders>
              <w:top w:val="single" w:sz="4" w:space="0" w:color="auto"/>
              <w:left w:val="single" w:sz="4" w:space="0" w:color="auto"/>
              <w:bottom w:val="single" w:sz="4" w:space="0" w:color="auto"/>
              <w:right w:val="single" w:sz="4" w:space="0" w:color="auto"/>
            </w:tcBorders>
          </w:tcPr>
          <w:p w14:paraId="789F3CDC" w14:textId="43BF2B0B" w:rsidR="00EB60E7" w:rsidRDefault="00EB60E7" w:rsidP="00C27C3D">
            <w:pPr>
              <w:spacing w:before="30" w:after="30"/>
              <w:rPr>
                <w:rFonts w:cs="Arial"/>
                <w:color w:val="404040"/>
                <w:szCs w:val="20"/>
                <w:lang w:eastAsia="en-GB"/>
              </w:rPr>
            </w:pPr>
            <w:r>
              <w:rPr>
                <w:rFonts w:cs="Arial"/>
                <w:color w:val="404040"/>
                <w:szCs w:val="20"/>
                <w:lang w:eastAsia="en-GB"/>
              </w:rPr>
              <w:t>Janine Hughes</w:t>
            </w:r>
          </w:p>
        </w:tc>
        <w:tc>
          <w:tcPr>
            <w:tcW w:w="2500" w:type="pct"/>
            <w:tcBorders>
              <w:top w:val="single" w:sz="4" w:space="0" w:color="auto"/>
              <w:left w:val="single" w:sz="4" w:space="0" w:color="auto"/>
              <w:bottom w:val="single" w:sz="4" w:space="0" w:color="auto"/>
              <w:right w:val="single" w:sz="4" w:space="0" w:color="auto"/>
            </w:tcBorders>
          </w:tcPr>
          <w:p w14:paraId="0FEEBC1C" w14:textId="2BE7A181" w:rsidR="00EB60E7" w:rsidRDefault="00EB60E7" w:rsidP="00C27C3D">
            <w:pPr>
              <w:spacing w:before="30" w:after="30"/>
              <w:rPr>
                <w:rFonts w:cs="Times New Roman"/>
                <w:color w:val="404040"/>
                <w:lang w:eastAsia="en-GB"/>
              </w:rPr>
            </w:pPr>
            <w:r>
              <w:rPr>
                <w:rFonts w:cs="Times New Roman"/>
                <w:color w:val="404040"/>
                <w:lang w:eastAsia="en-GB"/>
              </w:rPr>
              <w:t>DCC</w:t>
            </w:r>
          </w:p>
        </w:tc>
      </w:tr>
      <w:tr w:rsidR="00EB60E7" w14:paraId="6413AA47" w14:textId="77777777" w:rsidTr="00C27C3D">
        <w:trPr>
          <w:trHeight w:val="285"/>
          <w:jc w:val="center"/>
        </w:trPr>
        <w:tc>
          <w:tcPr>
            <w:tcW w:w="2500" w:type="pct"/>
            <w:tcBorders>
              <w:top w:val="single" w:sz="4" w:space="0" w:color="auto"/>
              <w:left w:val="single" w:sz="4" w:space="0" w:color="auto"/>
              <w:bottom w:val="single" w:sz="4" w:space="0" w:color="auto"/>
              <w:right w:val="single" w:sz="4" w:space="0" w:color="auto"/>
            </w:tcBorders>
          </w:tcPr>
          <w:p w14:paraId="08D6093E" w14:textId="752A9382" w:rsidR="00EB60E7" w:rsidRDefault="00EB60E7" w:rsidP="00C27C3D">
            <w:pPr>
              <w:spacing w:before="30" w:after="30"/>
              <w:rPr>
                <w:rFonts w:cs="Arial"/>
                <w:color w:val="404040"/>
                <w:szCs w:val="20"/>
                <w:lang w:eastAsia="en-GB"/>
              </w:rPr>
            </w:pPr>
            <w:r>
              <w:rPr>
                <w:rFonts w:cs="Arial"/>
                <w:color w:val="404040"/>
                <w:szCs w:val="20"/>
                <w:lang w:eastAsia="en-GB"/>
              </w:rPr>
              <w:t>Eleanor Taylor</w:t>
            </w:r>
          </w:p>
        </w:tc>
        <w:tc>
          <w:tcPr>
            <w:tcW w:w="2500" w:type="pct"/>
            <w:tcBorders>
              <w:top w:val="single" w:sz="4" w:space="0" w:color="auto"/>
              <w:left w:val="single" w:sz="4" w:space="0" w:color="auto"/>
              <w:bottom w:val="single" w:sz="4" w:space="0" w:color="auto"/>
              <w:right w:val="single" w:sz="4" w:space="0" w:color="auto"/>
            </w:tcBorders>
          </w:tcPr>
          <w:p w14:paraId="162D549C" w14:textId="1DA49375" w:rsidR="00EB60E7" w:rsidRDefault="00EB60E7" w:rsidP="00C27C3D">
            <w:pPr>
              <w:spacing w:before="30" w:after="30"/>
              <w:rPr>
                <w:rFonts w:cs="Times New Roman"/>
                <w:color w:val="404040"/>
                <w:lang w:eastAsia="en-GB"/>
              </w:rPr>
            </w:pPr>
            <w:r>
              <w:rPr>
                <w:rFonts w:cs="Times New Roman"/>
                <w:color w:val="404040"/>
                <w:lang w:eastAsia="en-GB"/>
              </w:rPr>
              <w:t>BEIS</w:t>
            </w:r>
          </w:p>
        </w:tc>
      </w:tr>
      <w:tr w:rsidR="00EB60E7" w14:paraId="02B20D34" w14:textId="77777777" w:rsidTr="00C27C3D">
        <w:trPr>
          <w:trHeight w:val="285"/>
          <w:jc w:val="center"/>
        </w:trPr>
        <w:tc>
          <w:tcPr>
            <w:tcW w:w="2500" w:type="pct"/>
            <w:tcBorders>
              <w:top w:val="single" w:sz="4" w:space="0" w:color="auto"/>
              <w:left w:val="single" w:sz="4" w:space="0" w:color="auto"/>
              <w:bottom w:val="single" w:sz="4" w:space="0" w:color="auto"/>
              <w:right w:val="single" w:sz="4" w:space="0" w:color="auto"/>
            </w:tcBorders>
          </w:tcPr>
          <w:p w14:paraId="21F94F59" w14:textId="6D07C9E7" w:rsidR="00EB60E7" w:rsidRDefault="00EB60E7" w:rsidP="00C27C3D">
            <w:pPr>
              <w:spacing w:before="30" w:after="30"/>
              <w:rPr>
                <w:rFonts w:cs="Arial"/>
                <w:color w:val="404040"/>
                <w:szCs w:val="20"/>
                <w:lang w:eastAsia="en-GB"/>
              </w:rPr>
            </w:pPr>
            <w:r>
              <w:rPr>
                <w:rFonts w:cs="Arial"/>
                <w:color w:val="404040"/>
                <w:szCs w:val="20"/>
                <w:lang w:eastAsia="en-GB"/>
              </w:rPr>
              <w:t>Sarah-Jane Russell</w:t>
            </w:r>
          </w:p>
        </w:tc>
        <w:tc>
          <w:tcPr>
            <w:tcW w:w="2500" w:type="pct"/>
            <w:tcBorders>
              <w:top w:val="single" w:sz="4" w:space="0" w:color="auto"/>
              <w:left w:val="single" w:sz="4" w:space="0" w:color="auto"/>
              <w:bottom w:val="single" w:sz="4" w:space="0" w:color="auto"/>
              <w:right w:val="single" w:sz="4" w:space="0" w:color="auto"/>
            </w:tcBorders>
          </w:tcPr>
          <w:p w14:paraId="7465DBE6" w14:textId="1E354846" w:rsidR="00EB60E7" w:rsidRDefault="00EB60E7" w:rsidP="00C27C3D">
            <w:pPr>
              <w:spacing w:before="30" w:after="30"/>
              <w:rPr>
                <w:rFonts w:cs="Times New Roman"/>
                <w:color w:val="404040"/>
                <w:lang w:eastAsia="en-GB"/>
              </w:rPr>
            </w:pPr>
            <w:r>
              <w:rPr>
                <w:rFonts w:cs="Times New Roman"/>
                <w:color w:val="404040"/>
                <w:lang w:eastAsia="en-GB"/>
              </w:rPr>
              <w:t>British Gas</w:t>
            </w:r>
          </w:p>
        </w:tc>
      </w:tr>
      <w:tr w:rsidR="00EB60E7" w14:paraId="38B6C941" w14:textId="77777777" w:rsidTr="00C27C3D">
        <w:trPr>
          <w:trHeight w:val="285"/>
          <w:jc w:val="center"/>
        </w:trPr>
        <w:tc>
          <w:tcPr>
            <w:tcW w:w="2500" w:type="pct"/>
            <w:tcBorders>
              <w:top w:val="single" w:sz="4" w:space="0" w:color="auto"/>
              <w:left w:val="single" w:sz="4" w:space="0" w:color="auto"/>
              <w:bottom w:val="single" w:sz="4" w:space="0" w:color="auto"/>
              <w:right w:val="single" w:sz="4" w:space="0" w:color="auto"/>
            </w:tcBorders>
          </w:tcPr>
          <w:p w14:paraId="070E1645" w14:textId="50CA40AD" w:rsidR="00EB60E7" w:rsidRPr="009117E5" w:rsidRDefault="00EB60E7" w:rsidP="00C27C3D">
            <w:pPr>
              <w:spacing w:before="30" w:after="30"/>
              <w:rPr>
                <w:rFonts w:cs="Arial"/>
                <w:color w:val="404040"/>
                <w:szCs w:val="20"/>
                <w:lang w:eastAsia="en-GB"/>
              </w:rPr>
            </w:pPr>
            <w:r>
              <w:rPr>
                <w:rFonts w:cs="Arial"/>
                <w:color w:val="404040"/>
                <w:szCs w:val="20"/>
                <w:lang w:eastAsia="en-GB"/>
              </w:rPr>
              <w:t>Tristan Fowler</w:t>
            </w:r>
          </w:p>
        </w:tc>
        <w:tc>
          <w:tcPr>
            <w:tcW w:w="2500" w:type="pct"/>
            <w:tcBorders>
              <w:top w:val="single" w:sz="4" w:space="0" w:color="auto"/>
              <w:left w:val="single" w:sz="4" w:space="0" w:color="auto"/>
              <w:bottom w:val="single" w:sz="4" w:space="0" w:color="auto"/>
              <w:right w:val="single" w:sz="4" w:space="0" w:color="auto"/>
            </w:tcBorders>
          </w:tcPr>
          <w:p w14:paraId="42790B64" w14:textId="11845251" w:rsidR="00EB60E7" w:rsidRPr="009117E5" w:rsidRDefault="00126C8B" w:rsidP="00C27C3D">
            <w:pPr>
              <w:spacing w:before="30" w:after="30"/>
              <w:rPr>
                <w:rFonts w:cs="Times New Roman"/>
                <w:color w:val="404040"/>
                <w:lang w:eastAsia="en-GB"/>
              </w:rPr>
            </w:pPr>
            <w:r>
              <w:rPr>
                <w:rFonts w:cs="Times New Roman"/>
                <w:color w:val="404040"/>
                <w:lang w:eastAsia="en-GB"/>
              </w:rPr>
              <w:t>ENSEK</w:t>
            </w:r>
          </w:p>
        </w:tc>
      </w:tr>
      <w:tr w:rsidR="0091216F" w14:paraId="04C6C277" w14:textId="77777777" w:rsidTr="00C27C3D">
        <w:trPr>
          <w:trHeight w:val="285"/>
          <w:jc w:val="center"/>
        </w:trPr>
        <w:tc>
          <w:tcPr>
            <w:tcW w:w="2500" w:type="pct"/>
            <w:tcBorders>
              <w:top w:val="single" w:sz="4" w:space="0" w:color="auto"/>
              <w:left w:val="single" w:sz="4" w:space="0" w:color="auto"/>
              <w:bottom w:val="single" w:sz="4" w:space="0" w:color="auto"/>
              <w:right w:val="single" w:sz="4" w:space="0" w:color="auto"/>
            </w:tcBorders>
          </w:tcPr>
          <w:p w14:paraId="2364CB5A" w14:textId="3357300E" w:rsidR="0091216F" w:rsidRDefault="0091216F" w:rsidP="00C27C3D">
            <w:pPr>
              <w:spacing w:before="30" w:after="30"/>
              <w:rPr>
                <w:rFonts w:cs="Arial"/>
                <w:color w:val="404040"/>
                <w:szCs w:val="20"/>
                <w:lang w:eastAsia="en-GB"/>
              </w:rPr>
            </w:pPr>
            <w:r>
              <w:rPr>
                <w:rFonts w:cs="Arial"/>
                <w:color w:val="404040"/>
                <w:szCs w:val="20"/>
                <w:lang w:eastAsia="en-GB"/>
              </w:rPr>
              <w:t>Peter Skirvin</w:t>
            </w:r>
          </w:p>
        </w:tc>
        <w:tc>
          <w:tcPr>
            <w:tcW w:w="2500" w:type="pct"/>
            <w:tcBorders>
              <w:top w:val="single" w:sz="4" w:space="0" w:color="auto"/>
              <w:left w:val="single" w:sz="4" w:space="0" w:color="auto"/>
              <w:bottom w:val="single" w:sz="4" w:space="0" w:color="auto"/>
              <w:right w:val="single" w:sz="4" w:space="0" w:color="auto"/>
            </w:tcBorders>
          </w:tcPr>
          <w:p w14:paraId="6CDA10E3" w14:textId="5671D16F" w:rsidR="0091216F" w:rsidRDefault="0091216F" w:rsidP="00C27C3D">
            <w:pPr>
              <w:spacing w:before="30" w:after="30"/>
              <w:rPr>
                <w:rFonts w:cs="Times New Roman"/>
                <w:color w:val="404040"/>
                <w:lang w:eastAsia="en-GB"/>
              </w:rPr>
            </w:pPr>
            <w:r>
              <w:rPr>
                <w:rFonts w:cs="Times New Roman"/>
                <w:color w:val="404040"/>
                <w:lang w:eastAsia="en-GB"/>
              </w:rPr>
              <w:t>ENWL</w:t>
            </w:r>
          </w:p>
        </w:tc>
      </w:tr>
      <w:tr w:rsidR="00EB60E7" w14:paraId="00A43F70" w14:textId="77777777" w:rsidTr="00C27C3D">
        <w:trPr>
          <w:trHeight w:val="285"/>
          <w:jc w:val="center"/>
        </w:trPr>
        <w:tc>
          <w:tcPr>
            <w:tcW w:w="2500" w:type="pct"/>
            <w:tcBorders>
              <w:top w:val="single" w:sz="4" w:space="0" w:color="auto"/>
              <w:left w:val="single" w:sz="4" w:space="0" w:color="auto"/>
              <w:bottom w:val="single" w:sz="4" w:space="0" w:color="auto"/>
              <w:right w:val="single" w:sz="4" w:space="0" w:color="auto"/>
            </w:tcBorders>
          </w:tcPr>
          <w:p w14:paraId="1EBF03BE" w14:textId="3FC59C7F" w:rsidR="00EB60E7" w:rsidRPr="009117E5" w:rsidRDefault="00EB60E7" w:rsidP="00C27C3D">
            <w:pPr>
              <w:spacing w:before="30" w:after="30"/>
              <w:rPr>
                <w:rFonts w:cs="Arial"/>
                <w:color w:val="404040"/>
                <w:szCs w:val="20"/>
                <w:lang w:eastAsia="en-GB"/>
              </w:rPr>
            </w:pPr>
            <w:r>
              <w:rPr>
                <w:rFonts w:cs="Arial"/>
                <w:color w:val="404040"/>
                <w:szCs w:val="20"/>
                <w:lang w:eastAsia="en-GB"/>
              </w:rPr>
              <w:t>Daniel Davies</w:t>
            </w:r>
          </w:p>
        </w:tc>
        <w:tc>
          <w:tcPr>
            <w:tcW w:w="2500" w:type="pct"/>
            <w:tcBorders>
              <w:top w:val="single" w:sz="4" w:space="0" w:color="auto"/>
              <w:left w:val="single" w:sz="4" w:space="0" w:color="auto"/>
              <w:bottom w:val="single" w:sz="4" w:space="0" w:color="auto"/>
              <w:right w:val="single" w:sz="4" w:space="0" w:color="auto"/>
            </w:tcBorders>
          </w:tcPr>
          <w:p w14:paraId="20FF63CC" w14:textId="46B9AF8F" w:rsidR="00EB60E7" w:rsidRPr="009117E5" w:rsidRDefault="00EB60E7" w:rsidP="00C27C3D">
            <w:pPr>
              <w:spacing w:before="30" w:after="30"/>
              <w:rPr>
                <w:rFonts w:cs="Times New Roman"/>
                <w:color w:val="404040"/>
                <w:lang w:eastAsia="en-GB"/>
              </w:rPr>
            </w:pPr>
            <w:r>
              <w:rPr>
                <w:rFonts w:cs="Times New Roman"/>
                <w:color w:val="404040"/>
                <w:lang w:eastAsia="en-GB"/>
              </w:rPr>
              <w:t>ESG Global</w:t>
            </w:r>
          </w:p>
        </w:tc>
      </w:tr>
      <w:tr w:rsidR="00E52377" w14:paraId="064732C6" w14:textId="77777777" w:rsidTr="00C27C3D">
        <w:trPr>
          <w:trHeight w:val="285"/>
          <w:jc w:val="center"/>
        </w:trPr>
        <w:tc>
          <w:tcPr>
            <w:tcW w:w="2500" w:type="pct"/>
            <w:tcBorders>
              <w:top w:val="single" w:sz="4" w:space="0" w:color="auto"/>
              <w:left w:val="single" w:sz="4" w:space="0" w:color="auto"/>
              <w:bottom w:val="single" w:sz="4" w:space="0" w:color="auto"/>
              <w:right w:val="single" w:sz="4" w:space="0" w:color="auto"/>
            </w:tcBorders>
            <w:hideMark/>
          </w:tcPr>
          <w:p w14:paraId="4A7D4CB2" w14:textId="77777777" w:rsidR="00E52377" w:rsidRPr="009117E5" w:rsidRDefault="00E52377" w:rsidP="00C27C3D">
            <w:pPr>
              <w:spacing w:before="30" w:after="30"/>
              <w:rPr>
                <w:rFonts w:cs="Arial"/>
                <w:i/>
                <w:iCs/>
                <w:color w:val="404040"/>
                <w:szCs w:val="20"/>
                <w:lang w:eastAsia="en-GB"/>
              </w:rPr>
            </w:pPr>
            <w:r w:rsidRPr="009117E5">
              <w:rPr>
                <w:rFonts w:cs="Arial"/>
                <w:color w:val="404040"/>
                <w:szCs w:val="20"/>
                <w:lang w:eastAsia="en-GB"/>
              </w:rPr>
              <w:t>Alastair Cobb</w:t>
            </w:r>
            <w:r>
              <w:rPr>
                <w:rFonts w:cs="Arial"/>
                <w:color w:val="404040"/>
                <w:szCs w:val="20"/>
                <w:lang w:eastAsia="en-GB"/>
              </w:rPr>
              <w:t xml:space="preserve"> </w:t>
            </w:r>
          </w:p>
        </w:tc>
        <w:tc>
          <w:tcPr>
            <w:tcW w:w="2500" w:type="pct"/>
            <w:tcBorders>
              <w:top w:val="single" w:sz="4" w:space="0" w:color="auto"/>
              <w:left w:val="single" w:sz="4" w:space="0" w:color="auto"/>
              <w:bottom w:val="single" w:sz="4" w:space="0" w:color="auto"/>
              <w:right w:val="single" w:sz="4" w:space="0" w:color="auto"/>
            </w:tcBorders>
            <w:hideMark/>
          </w:tcPr>
          <w:p w14:paraId="43F417F0" w14:textId="77777777" w:rsidR="00E52377" w:rsidRPr="009117E5" w:rsidRDefault="00E52377" w:rsidP="00C27C3D">
            <w:pPr>
              <w:spacing w:before="30" w:after="30"/>
              <w:rPr>
                <w:rFonts w:cs="Times New Roman"/>
                <w:color w:val="404040"/>
                <w:lang w:eastAsia="en-GB"/>
              </w:rPr>
            </w:pPr>
            <w:r w:rsidRPr="009117E5">
              <w:rPr>
                <w:rFonts w:cs="Times New Roman"/>
                <w:color w:val="404040"/>
                <w:lang w:eastAsia="en-GB"/>
              </w:rPr>
              <w:t xml:space="preserve">Landis + </w:t>
            </w:r>
            <w:proofErr w:type="spellStart"/>
            <w:r w:rsidRPr="009117E5">
              <w:rPr>
                <w:rFonts w:cs="Times New Roman"/>
                <w:color w:val="404040"/>
                <w:lang w:eastAsia="en-GB"/>
              </w:rPr>
              <w:t>Gyr</w:t>
            </w:r>
            <w:proofErr w:type="spellEnd"/>
          </w:p>
        </w:tc>
      </w:tr>
      <w:tr w:rsidR="00E52377" w14:paraId="568FC20F" w14:textId="77777777" w:rsidTr="00C27C3D">
        <w:trPr>
          <w:trHeight w:val="285"/>
          <w:jc w:val="center"/>
        </w:trPr>
        <w:tc>
          <w:tcPr>
            <w:tcW w:w="2500" w:type="pct"/>
            <w:tcBorders>
              <w:top w:val="single" w:sz="4" w:space="0" w:color="auto"/>
              <w:left w:val="single" w:sz="4" w:space="0" w:color="auto"/>
              <w:bottom w:val="single" w:sz="4" w:space="0" w:color="auto"/>
              <w:right w:val="single" w:sz="4" w:space="0" w:color="auto"/>
            </w:tcBorders>
            <w:hideMark/>
          </w:tcPr>
          <w:p w14:paraId="74738E93" w14:textId="77777777" w:rsidR="00E52377" w:rsidRPr="009117E5" w:rsidRDefault="00E52377" w:rsidP="00C27C3D">
            <w:pPr>
              <w:spacing w:before="30" w:after="30"/>
              <w:rPr>
                <w:rFonts w:cs="Arial"/>
                <w:color w:val="404040"/>
                <w:szCs w:val="20"/>
                <w:lang w:eastAsia="en-GB"/>
              </w:rPr>
            </w:pPr>
            <w:r w:rsidRPr="009117E5">
              <w:rPr>
                <w:rFonts w:cs="Arial"/>
                <w:color w:val="404040"/>
                <w:szCs w:val="20"/>
                <w:lang w:eastAsia="en-GB"/>
              </w:rPr>
              <w:t>Ralph Baxter</w:t>
            </w:r>
          </w:p>
        </w:tc>
        <w:tc>
          <w:tcPr>
            <w:tcW w:w="2500" w:type="pct"/>
            <w:tcBorders>
              <w:top w:val="single" w:sz="4" w:space="0" w:color="auto"/>
              <w:left w:val="single" w:sz="4" w:space="0" w:color="auto"/>
              <w:bottom w:val="single" w:sz="4" w:space="0" w:color="auto"/>
              <w:right w:val="single" w:sz="4" w:space="0" w:color="auto"/>
            </w:tcBorders>
            <w:hideMark/>
          </w:tcPr>
          <w:p w14:paraId="10318388" w14:textId="77777777" w:rsidR="00E52377" w:rsidRPr="009117E5" w:rsidRDefault="00E52377" w:rsidP="00C27C3D">
            <w:pPr>
              <w:spacing w:before="30" w:after="30"/>
              <w:rPr>
                <w:rFonts w:cs="Times New Roman"/>
                <w:color w:val="404040"/>
                <w:lang w:eastAsia="en-GB"/>
              </w:rPr>
            </w:pPr>
            <w:r w:rsidRPr="009117E5">
              <w:rPr>
                <w:rFonts w:cs="Times New Roman"/>
                <w:color w:val="404040"/>
                <w:lang w:eastAsia="en-GB"/>
              </w:rPr>
              <w:t>Octopus Energy</w:t>
            </w:r>
          </w:p>
        </w:tc>
      </w:tr>
      <w:tr w:rsidR="00EB60E7" w14:paraId="64160450" w14:textId="77777777" w:rsidTr="00C27C3D">
        <w:trPr>
          <w:trHeight w:val="285"/>
          <w:jc w:val="center"/>
        </w:trPr>
        <w:tc>
          <w:tcPr>
            <w:tcW w:w="2500" w:type="pct"/>
            <w:tcBorders>
              <w:top w:val="single" w:sz="4" w:space="0" w:color="auto"/>
              <w:left w:val="single" w:sz="4" w:space="0" w:color="auto"/>
              <w:bottom w:val="single" w:sz="4" w:space="0" w:color="auto"/>
              <w:right w:val="single" w:sz="4" w:space="0" w:color="auto"/>
            </w:tcBorders>
          </w:tcPr>
          <w:p w14:paraId="7F89460E" w14:textId="24D2C8E0" w:rsidR="00EB60E7" w:rsidRPr="009117E5" w:rsidRDefault="00EB60E7" w:rsidP="00C27C3D">
            <w:pPr>
              <w:spacing w:before="30" w:after="30"/>
              <w:rPr>
                <w:rFonts w:cs="Arial"/>
                <w:color w:val="404040"/>
                <w:szCs w:val="20"/>
                <w:lang w:eastAsia="en-GB"/>
              </w:rPr>
            </w:pPr>
            <w:r>
              <w:rPr>
                <w:rFonts w:cs="Arial"/>
                <w:color w:val="404040"/>
                <w:szCs w:val="20"/>
                <w:lang w:eastAsia="en-GB"/>
              </w:rPr>
              <w:t>Michael Walls</w:t>
            </w:r>
          </w:p>
        </w:tc>
        <w:tc>
          <w:tcPr>
            <w:tcW w:w="2500" w:type="pct"/>
            <w:tcBorders>
              <w:top w:val="single" w:sz="4" w:space="0" w:color="auto"/>
              <w:left w:val="single" w:sz="4" w:space="0" w:color="auto"/>
              <w:bottom w:val="single" w:sz="4" w:space="0" w:color="auto"/>
              <w:right w:val="single" w:sz="4" w:space="0" w:color="auto"/>
            </w:tcBorders>
          </w:tcPr>
          <w:p w14:paraId="50519034" w14:textId="71EB4F38" w:rsidR="00EB60E7" w:rsidRPr="009117E5" w:rsidRDefault="00EB60E7" w:rsidP="00C27C3D">
            <w:pPr>
              <w:spacing w:before="30" w:after="30"/>
              <w:rPr>
                <w:rFonts w:cs="Times New Roman"/>
                <w:color w:val="404040"/>
                <w:lang w:eastAsia="en-GB"/>
              </w:rPr>
            </w:pPr>
            <w:r>
              <w:rPr>
                <w:rFonts w:cs="Times New Roman"/>
                <w:color w:val="404040"/>
                <w:lang w:eastAsia="en-GB"/>
              </w:rPr>
              <w:t>Ofgem</w:t>
            </w:r>
          </w:p>
        </w:tc>
      </w:tr>
      <w:tr w:rsidR="00E52377" w14:paraId="58C6E308" w14:textId="77777777" w:rsidTr="00C27C3D">
        <w:trPr>
          <w:trHeight w:val="285"/>
          <w:jc w:val="center"/>
        </w:trPr>
        <w:tc>
          <w:tcPr>
            <w:tcW w:w="2500" w:type="pct"/>
            <w:tcBorders>
              <w:top w:val="single" w:sz="4" w:space="0" w:color="auto"/>
              <w:left w:val="single" w:sz="4" w:space="0" w:color="auto"/>
              <w:bottom w:val="single" w:sz="4" w:space="0" w:color="auto"/>
              <w:right w:val="single" w:sz="4" w:space="0" w:color="auto"/>
            </w:tcBorders>
            <w:hideMark/>
          </w:tcPr>
          <w:p w14:paraId="6414A87E" w14:textId="77777777" w:rsidR="00E52377" w:rsidRPr="009117E5" w:rsidRDefault="00E52377" w:rsidP="00C27C3D">
            <w:pPr>
              <w:spacing w:before="30" w:after="30"/>
              <w:rPr>
                <w:rFonts w:cs="Arial"/>
                <w:color w:val="404040"/>
                <w:szCs w:val="20"/>
                <w:lang w:eastAsia="en-GB"/>
              </w:rPr>
            </w:pPr>
            <w:r w:rsidRPr="009117E5">
              <w:rPr>
                <w:rFonts w:cs="Arial"/>
                <w:color w:val="404040"/>
                <w:szCs w:val="20"/>
                <w:lang w:eastAsia="en-GB"/>
              </w:rPr>
              <w:t>Emslie Law</w:t>
            </w:r>
          </w:p>
        </w:tc>
        <w:tc>
          <w:tcPr>
            <w:tcW w:w="2500" w:type="pct"/>
            <w:tcBorders>
              <w:top w:val="single" w:sz="4" w:space="0" w:color="auto"/>
              <w:left w:val="single" w:sz="4" w:space="0" w:color="auto"/>
              <w:bottom w:val="single" w:sz="4" w:space="0" w:color="auto"/>
              <w:right w:val="single" w:sz="4" w:space="0" w:color="auto"/>
            </w:tcBorders>
            <w:hideMark/>
          </w:tcPr>
          <w:p w14:paraId="0790CAF6" w14:textId="77777777" w:rsidR="00E52377" w:rsidRPr="009117E5" w:rsidRDefault="00E52377" w:rsidP="00C27C3D">
            <w:pPr>
              <w:spacing w:before="30" w:after="30"/>
              <w:rPr>
                <w:rFonts w:cs="Times New Roman"/>
                <w:color w:val="404040"/>
                <w:lang w:eastAsia="en-GB"/>
              </w:rPr>
            </w:pPr>
            <w:r w:rsidRPr="009117E5">
              <w:rPr>
                <w:rFonts w:cs="Times New Roman"/>
                <w:color w:val="404040"/>
                <w:lang w:eastAsia="en-GB"/>
              </w:rPr>
              <w:t>OVO Energy</w:t>
            </w:r>
          </w:p>
        </w:tc>
      </w:tr>
      <w:tr w:rsidR="00E52377" w14:paraId="0FEA9F0A" w14:textId="77777777" w:rsidTr="00C27C3D">
        <w:trPr>
          <w:trHeight w:val="285"/>
          <w:jc w:val="center"/>
        </w:trPr>
        <w:tc>
          <w:tcPr>
            <w:tcW w:w="2500" w:type="pct"/>
            <w:tcBorders>
              <w:top w:val="single" w:sz="4" w:space="0" w:color="auto"/>
              <w:left w:val="single" w:sz="4" w:space="0" w:color="auto"/>
              <w:bottom w:val="single" w:sz="4" w:space="0" w:color="auto"/>
              <w:right w:val="single" w:sz="4" w:space="0" w:color="auto"/>
            </w:tcBorders>
            <w:hideMark/>
          </w:tcPr>
          <w:p w14:paraId="6100956D" w14:textId="77777777" w:rsidR="00E52377" w:rsidRPr="009117E5" w:rsidRDefault="00E52377" w:rsidP="00C27C3D">
            <w:pPr>
              <w:spacing w:before="30" w:after="30"/>
              <w:rPr>
                <w:rFonts w:cs="Arial"/>
                <w:color w:val="404040"/>
                <w:szCs w:val="20"/>
                <w:lang w:eastAsia="en-GB"/>
              </w:rPr>
            </w:pPr>
            <w:r w:rsidRPr="009117E5">
              <w:rPr>
                <w:rFonts w:cs="Arial"/>
                <w:color w:val="404040"/>
                <w:szCs w:val="20"/>
                <w:lang w:eastAsia="en-GB"/>
              </w:rPr>
              <w:t>Mafs Rahman</w:t>
            </w:r>
          </w:p>
        </w:tc>
        <w:tc>
          <w:tcPr>
            <w:tcW w:w="2500" w:type="pct"/>
            <w:tcBorders>
              <w:top w:val="single" w:sz="4" w:space="0" w:color="auto"/>
              <w:left w:val="single" w:sz="4" w:space="0" w:color="auto"/>
              <w:bottom w:val="single" w:sz="4" w:space="0" w:color="auto"/>
              <w:right w:val="single" w:sz="4" w:space="0" w:color="auto"/>
            </w:tcBorders>
            <w:hideMark/>
          </w:tcPr>
          <w:p w14:paraId="6E716989" w14:textId="77777777" w:rsidR="00E52377" w:rsidRPr="009117E5" w:rsidRDefault="00E52377" w:rsidP="00C27C3D">
            <w:pPr>
              <w:spacing w:before="30" w:after="30"/>
              <w:rPr>
                <w:rFonts w:cs="Times New Roman"/>
                <w:color w:val="404040"/>
                <w:lang w:eastAsia="en-GB"/>
              </w:rPr>
            </w:pPr>
            <w:r w:rsidRPr="009117E5">
              <w:rPr>
                <w:rFonts w:cs="Times New Roman"/>
                <w:color w:val="404040"/>
                <w:lang w:eastAsia="en-GB"/>
              </w:rPr>
              <w:t>Scottish Power</w:t>
            </w:r>
          </w:p>
        </w:tc>
      </w:tr>
      <w:tr w:rsidR="00E52377" w14:paraId="42F448A4" w14:textId="77777777" w:rsidTr="00C27C3D">
        <w:trPr>
          <w:trHeight w:val="285"/>
          <w:jc w:val="center"/>
        </w:trPr>
        <w:tc>
          <w:tcPr>
            <w:tcW w:w="2500" w:type="pct"/>
            <w:tcBorders>
              <w:top w:val="single" w:sz="4" w:space="0" w:color="auto"/>
              <w:left w:val="single" w:sz="4" w:space="0" w:color="auto"/>
              <w:bottom w:val="single" w:sz="4" w:space="0" w:color="auto"/>
              <w:right w:val="single" w:sz="4" w:space="0" w:color="auto"/>
            </w:tcBorders>
          </w:tcPr>
          <w:p w14:paraId="36E3F642" w14:textId="77777777" w:rsidR="00E52377" w:rsidRPr="009117E5" w:rsidRDefault="00E52377" w:rsidP="00C27C3D">
            <w:pPr>
              <w:spacing w:before="30" w:after="30"/>
              <w:rPr>
                <w:rFonts w:cs="Arial"/>
                <w:color w:val="404040"/>
                <w:szCs w:val="20"/>
                <w:lang w:eastAsia="en-GB"/>
              </w:rPr>
            </w:pPr>
            <w:r>
              <w:rPr>
                <w:rFonts w:cs="Arial"/>
                <w:color w:val="404040"/>
                <w:szCs w:val="20"/>
                <w:lang w:eastAsia="en-GB"/>
              </w:rPr>
              <w:t>Elias Hanna</w:t>
            </w:r>
          </w:p>
        </w:tc>
        <w:tc>
          <w:tcPr>
            <w:tcW w:w="2500" w:type="pct"/>
            <w:tcBorders>
              <w:top w:val="single" w:sz="4" w:space="0" w:color="auto"/>
              <w:left w:val="single" w:sz="4" w:space="0" w:color="auto"/>
              <w:bottom w:val="single" w:sz="4" w:space="0" w:color="auto"/>
              <w:right w:val="single" w:sz="4" w:space="0" w:color="auto"/>
            </w:tcBorders>
          </w:tcPr>
          <w:p w14:paraId="626B2195" w14:textId="77777777" w:rsidR="00E52377" w:rsidRPr="009117E5" w:rsidRDefault="00E52377" w:rsidP="00C27C3D">
            <w:pPr>
              <w:spacing w:before="30" w:after="30"/>
              <w:rPr>
                <w:rFonts w:cs="Times New Roman"/>
                <w:color w:val="404040"/>
                <w:lang w:eastAsia="en-GB"/>
              </w:rPr>
            </w:pPr>
            <w:r>
              <w:rPr>
                <w:rFonts w:cs="Times New Roman"/>
                <w:color w:val="404040"/>
                <w:lang w:eastAsia="en-GB"/>
              </w:rPr>
              <w:t>Smart ADSL</w:t>
            </w:r>
          </w:p>
        </w:tc>
      </w:tr>
      <w:tr w:rsidR="00E52377" w14:paraId="0AF7E2BE" w14:textId="77777777" w:rsidTr="00C27C3D">
        <w:trPr>
          <w:trHeight w:val="285"/>
          <w:jc w:val="center"/>
        </w:trPr>
        <w:tc>
          <w:tcPr>
            <w:tcW w:w="2500" w:type="pct"/>
            <w:tcBorders>
              <w:top w:val="single" w:sz="4" w:space="0" w:color="auto"/>
              <w:left w:val="single" w:sz="4" w:space="0" w:color="auto"/>
              <w:bottom w:val="single" w:sz="4" w:space="0" w:color="auto"/>
              <w:right w:val="single" w:sz="4" w:space="0" w:color="auto"/>
            </w:tcBorders>
            <w:hideMark/>
          </w:tcPr>
          <w:p w14:paraId="30938A8E" w14:textId="77777777" w:rsidR="00E52377" w:rsidRPr="009117E5" w:rsidRDefault="00E52377" w:rsidP="00C27C3D">
            <w:pPr>
              <w:spacing w:before="30" w:after="30"/>
              <w:rPr>
                <w:rFonts w:cs="Arial"/>
                <w:color w:val="404040"/>
                <w:szCs w:val="20"/>
                <w:lang w:eastAsia="en-GB"/>
              </w:rPr>
            </w:pPr>
            <w:r w:rsidRPr="009117E5">
              <w:rPr>
                <w:rFonts w:cs="Arial"/>
                <w:color w:val="404040"/>
                <w:szCs w:val="20"/>
                <w:lang w:eastAsia="en-GB"/>
              </w:rPr>
              <w:t>Matthew Alexander</w:t>
            </w:r>
          </w:p>
        </w:tc>
        <w:tc>
          <w:tcPr>
            <w:tcW w:w="2500" w:type="pct"/>
            <w:tcBorders>
              <w:top w:val="single" w:sz="4" w:space="0" w:color="auto"/>
              <w:left w:val="single" w:sz="4" w:space="0" w:color="auto"/>
              <w:bottom w:val="single" w:sz="4" w:space="0" w:color="auto"/>
              <w:right w:val="single" w:sz="4" w:space="0" w:color="auto"/>
            </w:tcBorders>
            <w:hideMark/>
          </w:tcPr>
          <w:p w14:paraId="27372E4C" w14:textId="77777777" w:rsidR="00E52377" w:rsidRPr="009117E5" w:rsidRDefault="00E52377" w:rsidP="00C27C3D">
            <w:pPr>
              <w:spacing w:before="30" w:after="30"/>
              <w:rPr>
                <w:rFonts w:cs="Times New Roman"/>
                <w:color w:val="404040"/>
                <w:lang w:eastAsia="en-GB"/>
              </w:rPr>
            </w:pPr>
            <w:r w:rsidRPr="009117E5">
              <w:rPr>
                <w:rFonts w:cs="Times New Roman"/>
                <w:color w:val="404040"/>
                <w:lang w:eastAsia="en-GB"/>
              </w:rPr>
              <w:t>SSEN</w:t>
            </w:r>
          </w:p>
        </w:tc>
      </w:tr>
      <w:tr w:rsidR="00EB60E7" w14:paraId="5DE4EE90" w14:textId="77777777" w:rsidTr="00C27C3D">
        <w:trPr>
          <w:trHeight w:val="285"/>
          <w:jc w:val="center"/>
        </w:trPr>
        <w:tc>
          <w:tcPr>
            <w:tcW w:w="2500" w:type="pct"/>
            <w:tcBorders>
              <w:top w:val="single" w:sz="4" w:space="0" w:color="auto"/>
              <w:left w:val="single" w:sz="4" w:space="0" w:color="auto"/>
              <w:bottom w:val="single" w:sz="4" w:space="0" w:color="auto"/>
              <w:right w:val="single" w:sz="4" w:space="0" w:color="auto"/>
            </w:tcBorders>
          </w:tcPr>
          <w:p w14:paraId="1600C69B" w14:textId="050C6A50" w:rsidR="00EB60E7" w:rsidRPr="009117E5" w:rsidRDefault="00EB60E7" w:rsidP="00C27C3D">
            <w:pPr>
              <w:spacing w:before="30" w:after="30"/>
              <w:rPr>
                <w:rFonts w:cs="Arial"/>
                <w:color w:val="404040"/>
                <w:szCs w:val="20"/>
                <w:lang w:eastAsia="en-GB"/>
              </w:rPr>
            </w:pPr>
            <w:r>
              <w:rPr>
                <w:rFonts w:cs="Arial"/>
                <w:color w:val="404040"/>
                <w:szCs w:val="20"/>
                <w:lang w:eastAsia="en-GB"/>
              </w:rPr>
              <w:t>Robert Johnstone</w:t>
            </w:r>
          </w:p>
        </w:tc>
        <w:tc>
          <w:tcPr>
            <w:tcW w:w="2500" w:type="pct"/>
            <w:tcBorders>
              <w:top w:val="single" w:sz="4" w:space="0" w:color="auto"/>
              <w:left w:val="single" w:sz="4" w:space="0" w:color="auto"/>
              <w:bottom w:val="single" w:sz="4" w:space="0" w:color="auto"/>
              <w:right w:val="single" w:sz="4" w:space="0" w:color="auto"/>
            </w:tcBorders>
          </w:tcPr>
          <w:p w14:paraId="36CFD32B" w14:textId="015CBE57" w:rsidR="00EB60E7" w:rsidRPr="009117E5" w:rsidRDefault="00EB60E7" w:rsidP="00C27C3D">
            <w:pPr>
              <w:spacing w:before="30" w:after="30"/>
              <w:rPr>
                <w:rFonts w:cs="Times New Roman"/>
                <w:color w:val="404040"/>
                <w:lang w:eastAsia="en-GB"/>
              </w:rPr>
            </w:pPr>
            <w:r>
              <w:rPr>
                <w:rFonts w:cs="Times New Roman"/>
                <w:color w:val="404040"/>
                <w:lang w:eastAsia="en-GB"/>
              </w:rPr>
              <w:t>Utilita</w:t>
            </w:r>
          </w:p>
        </w:tc>
      </w:tr>
      <w:tr w:rsidR="00E52377" w14:paraId="1B82DC09" w14:textId="77777777" w:rsidTr="00C27C3D">
        <w:trPr>
          <w:trHeight w:val="285"/>
          <w:jc w:val="center"/>
        </w:trPr>
        <w:tc>
          <w:tcPr>
            <w:tcW w:w="2500" w:type="pct"/>
            <w:tcBorders>
              <w:top w:val="single" w:sz="4" w:space="0" w:color="auto"/>
              <w:left w:val="single" w:sz="4" w:space="0" w:color="auto"/>
              <w:bottom w:val="single" w:sz="4" w:space="0" w:color="auto"/>
              <w:right w:val="single" w:sz="4" w:space="0" w:color="auto"/>
            </w:tcBorders>
            <w:hideMark/>
          </w:tcPr>
          <w:p w14:paraId="0179B94D" w14:textId="77777777" w:rsidR="00E52377" w:rsidRPr="009117E5" w:rsidRDefault="00E52377" w:rsidP="00C27C3D">
            <w:pPr>
              <w:spacing w:before="30" w:after="30"/>
              <w:rPr>
                <w:rFonts w:cs="Arial"/>
                <w:color w:val="404040"/>
                <w:szCs w:val="20"/>
                <w:lang w:eastAsia="en-GB"/>
              </w:rPr>
            </w:pPr>
            <w:r w:rsidRPr="009117E5">
              <w:rPr>
                <w:rFonts w:cs="Arial"/>
                <w:color w:val="404040"/>
                <w:szCs w:val="20"/>
                <w:lang w:eastAsia="en-GB"/>
              </w:rPr>
              <w:t>Gemma Slaney</w:t>
            </w:r>
          </w:p>
        </w:tc>
        <w:tc>
          <w:tcPr>
            <w:tcW w:w="2500" w:type="pct"/>
            <w:tcBorders>
              <w:top w:val="single" w:sz="4" w:space="0" w:color="auto"/>
              <w:left w:val="single" w:sz="4" w:space="0" w:color="auto"/>
              <w:bottom w:val="single" w:sz="4" w:space="0" w:color="auto"/>
              <w:right w:val="single" w:sz="4" w:space="0" w:color="auto"/>
            </w:tcBorders>
            <w:hideMark/>
          </w:tcPr>
          <w:p w14:paraId="35C68256" w14:textId="77777777" w:rsidR="00E52377" w:rsidRPr="009117E5" w:rsidRDefault="00E52377" w:rsidP="00C27C3D">
            <w:pPr>
              <w:spacing w:before="30" w:after="30"/>
              <w:rPr>
                <w:rFonts w:cs="Times New Roman"/>
                <w:color w:val="404040"/>
                <w:lang w:eastAsia="en-GB"/>
              </w:rPr>
            </w:pPr>
            <w:r w:rsidRPr="009117E5">
              <w:rPr>
                <w:rFonts w:cs="Times New Roman"/>
                <w:color w:val="404040"/>
                <w:lang w:eastAsia="en-GB"/>
              </w:rPr>
              <w:t>WPD</w:t>
            </w:r>
          </w:p>
        </w:tc>
      </w:tr>
      <w:tr w:rsidR="00E52377" w14:paraId="148BA716" w14:textId="77777777" w:rsidTr="00C27C3D">
        <w:trPr>
          <w:trHeight w:val="285"/>
          <w:jc w:val="center"/>
        </w:trPr>
        <w:tc>
          <w:tcPr>
            <w:tcW w:w="2500" w:type="pct"/>
            <w:tcBorders>
              <w:top w:val="single" w:sz="4" w:space="0" w:color="auto"/>
              <w:left w:val="single" w:sz="4" w:space="0" w:color="auto"/>
              <w:bottom w:val="single" w:sz="4" w:space="0" w:color="auto"/>
              <w:right w:val="single" w:sz="4" w:space="0" w:color="auto"/>
            </w:tcBorders>
            <w:hideMark/>
          </w:tcPr>
          <w:p w14:paraId="06400C75" w14:textId="77777777" w:rsidR="00E52377" w:rsidRPr="009117E5" w:rsidRDefault="00E52377" w:rsidP="00C27C3D">
            <w:pPr>
              <w:spacing w:before="30" w:after="30"/>
              <w:rPr>
                <w:rFonts w:cs="Arial"/>
                <w:color w:val="404040"/>
                <w:szCs w:val="20"/>
                <w:lang w:eastAsia="en-GB"/>
              </w:rPr>
            </w:pPr>
            <w:r w:rsidRPr="009117E5">
              <w:rPr>
                <w:rFonts w:cs="Arial"/>
                <w:color w:val="404040"/>
                <w:szCs w:val="20"/>
                <w:lang w:eastAsia="en-GB"/>
              </w:rPr>
              <w:t>Kelly Kinsman</w:t>
            </w:r>
          </w:p>
        </w:tc>
        <w:tc>
          <w:tcPr>
            <w:tcW w:w="2500" w:type="pct"/>
            <w:tcBorders>
              <w:top w:val="single" w:sz="4" w:space="0" w:color="auto"/>
              <w:left w:val="single" w:sz="4" w:space="0" w:color="auto"/>
              <w:bottom w:val="single" w:sz="4" w:space="0" w:color="auto"/>
              <w:right w:val="single" w:sz="4" w:space="0" w:color="auto"/>
            </w:tcBorders>
            <w:hideMark/>
          </w:tcPr>
          <w:p w14:paraId="622A870B" w14:textId="77777777" w:rsidR="00E52377" w:rsidRPr="009117E5" w:rsidRDefault="00E52377" w:rsidP="00C27C3D">
            <w:pPr>
              <w:spacing w:before="30" w:after="30"/>
              <w:rPr>
                <w:rFonts w:cs="Times New Roman"/>
                <w:color w:val="404040"/>
                <w:lang w:eastAsia="en-GB"/>
              </w:rPr>
            </w:pPr>
            <w:r w:rsidRPr="009117E5">
              <w:rPr>
                <w:rFonts w:cs="Times New Roman"/>
                <w:color w:val="404040"/>
                <w:lang w:eastAsia="en-GB"/>
              </w:rPr>
              <w:t>W</w:t>
            </w:r>
            <w:r>
              <w:rPr>
                <w:rFonts w:cs="Times New Roman"/>
                <w:color w:val="404040"/>
                <w:lang w:eastAsia="en-GB"/>
              </w:rPr>
              <w:t>PD</w:t>
            </w:r>
          </w:p>
        </w:tc>
      </w:tr>
    </w:tbl>
    <w:p w14:paraId="5CF0E901" w14:textId="36C16BA2" w:rsidR="00E42FFB" w:rsidRDefault="00E52377" w:rsidP="00F556BC">
      <w:pPr>
        <w:pStyle w:val="Subtitle"/>
      </w:pPr>
      <w:r>
        <w:lastRenderedPageBreak/>
        <w:br/>
      </w:r>
      <w:r w:rsidR="000055AC">
        <w:t>Overview</w:t>
      </w:r>
    </w:p>
    <w:p w14:paraId="3CF41113" w14:textId="442F9DD6" w:rsidR="00E91C2A" w:rsidRDefault="00AD70B0" w:rsidP="000055AC">
      <w:r>
        <w:t xml:space="preserve">The Smart </w:t>
      </w:r>
      <w:r w:rsidR="00A001CC">
        <w:t>E</w:t>
      </w:r>
      <w:r>
        <w:t>nergy Code Administrator and Secretariat (</w:t>
      </w:r>
      <w:r w:rsidR="000055AC">
        <w:t>SECAS</w:t>
      </w:r>
      <w:r>
        <w:t>)</w:t>
      </w:r>
      <w:r w:rsidR="000055AC">
        <w:t xml:space="preserve"> provided an overview of the issue identified by </w:t>
      </w:r>
      <w:hyperlink r:id="rId8" w:history="1">
        <w:r w:rsidR="000055AC" w:rsidRPr="00583EC5">
          <w:rPr>
            <w:rStyle w:val="Hyperlink"/>
          </w:rPr>
          <w:t>MP</w:t>
        </w:r>
        <w:r w:rsidR="00F64567">
          <w:rPr>
            <w:rStyle w:val="Hyperlink"/>
          </w:rPr>
          <w:t>096</w:t>
        </w:r>
        <w:r w:rsidR="000D7BCC" w:rsidRPr="00583EC5">
          <w:rPr>
            <w:rStyle w:val="Hyperlink"/>
          </w:rPr>
          <w:t xml:space="preserve"> </w:t>
        </w:r>
        <w:r w:rsidR="00583EC5" w:rsidRPr="00583EC5">
          <w:rPr>
            <w:rStyle w:val="Hyperlink"/>
          </w:rPr>
          <w:t>‘</w:t>
        </w:r>
        <w:r w:rsidR="00F64567">
          <w:rPr>
            <w:rStyle w:val="Hyperlink"/>
          </w:rPr>
          <w:t>DNO Power Outage Alerts</w:t>
        </w:r>
        <w:r w:rsidR="00583EC5" w:rsidRPr="00583EC5">
          <w:rPr>
            <w:rStyle w:val="Hyperlink"/>
          </w:rPr>
          <w:t>’</w:t>
        </w:r>
      </w:hyperlink>
      <w:r w:rsidR="007614BB">
        <w:t xml:space="preserve">, </w:t>
      </w:r>
      <w:r w:rsidR="0091216F">
        <w:t>further</w:t>
      </w:r>
      <w:r w:rsidR="007614BB">
        <w:t xml:space="preserve"> details of the request for information </w:t>
      </w:r>
      <w:r w:rsidR="00F83D10">
        <w:t xml:space="preserve">(RFI) </w:t>
      </w:r>
      <w:r w:rsidR="007614BB">
        <w:t xml:space="preserve">consultation (including the </w:t>
      </w:r>
      <w:r w:rsidR="00864CF8">
        <w:t>P</w:t>
      </w:r>
      <w:r w:rsidR="007614BB">
        <w:t xml:space="preserve">roposed </w:t>
      </w:r>
      <w:r w:rsidR="00864CF8">
        <w:t>S</w:t>
      </w:r>
      <w:r w:rsidR="007614BB">
        <w:t>olution options)</w:t>
      </w:r>
      <w:r w:rsidR="0091216F">
        <w:t xml:space="preserve"> responses</w:t>
      </w:r>
      <w:r w:rsidR="007614BB">
        <w:t>,</w:t>
      </w:r>
      <w:r w:rsidR="0091216F">
        <w:t xml:space="preserve"> a summary of the Operations Group (OPSG) and Technical Architecture and Business Architecture Sub-Committee (TABASC) discussion</w:t>
      </w:r>
      <w:r w:rsidR="000D7BCC">
        <w:t>.</w:t>
      </w:r>
      <w:r w:rsidR="00EB17D8">
        <w:t xml:space="preserve"> </w:t>
      </w:r>
      <w:r w:rsidR="00DF7D1A">
        <w:t xml:space="preserve">The </w:t>
      </w:r>
      <w:r w:rsidR="00F64567">
        <w:t>Data Communications Company (</w:t>
      </w:r>
      <w:r w:rsidR="00DF7D1A">
        <w:t>DCC</w:t>
      </w:r>
      <w:r w:rsidR="00F64567">
        <w:t>)</w:t>
      </w:r>
      <w:r w:rsidR="00DF7D1A">
        <w:t xml:space="preserve"> also provided </w:t>
      </w:r>
      <w:r w:rsidR="007614BB">
        <w:t>detail on the cost-benefit analysis of proposed solution options 2 and 3</w:t>
      </w:r>
      <w:r w:rsidR="0091216F">
        <w:t>, a description of the Alert measurement project being undertaken and a summary of the Network Evolution Programme</w:t>
      </w:r>
      <w:r w:rsidR="00DF7D1A">
        <w:t>.</w:t>
      </w:r>
    </w:p>
    <w:p w14:paraId="0D98D4B1" w14:textId="77777777" w:rsidR="00BF5368" w:rsidRDefault="00BF5368" w:rsidP="00BF5368">
      <w:pPr>
        <w:pStyle w:val="Subheading"/>
      </w:pPr>
    </w:p>
    <w:p w14:paraId="66716060" w14:textId="3B2433BD" w:rsidR="00BF5368" w:rsidRDefault="00BF5368" w:rsidP="00BF5368">
      <w:pPr>
        <w:pStyle w:val="Subheading"/>
      </w:pPr>
      <w:r>
        <w:t>Working Group objectives:</w:t>
      </w:r>
    </w:p>
    <w:p w14:paraId="2F2B1045" w14:textId="18D8D6D4" w:rsidR="0091216F" w:rsidRDefault="0091216F" w:rsidP="00BF5368">
      <w:pPr>
        <w:pStyle w:val="ListParagraph"/>
      </w:pPr>
      <w:r w:rsidRPr="0091216F">
        <w:rPr>
          <w:b/>
          <w:bCs/>
        </w:rPr>
        <w:t>Note</w:t>
      </w:r>
      <w:r>
        <w:t xml:space="preserve"> the summary of the RFI responses</w:t>
      </w:r>
    </w:p>
    <w:p w14:paraId="51B65270" w14:textId="131F845E" w:rsidR="0091216F" w:rsidRDefault="0091216F" w:rsidP="00BF5368">
      <w:pPr>
        <w:pStyle w:val="ListParagraph"/>
      </w:pPr>
      <w:r w:rsidRPr="0091216F">
        <w:rPr>
          <w:b/>
          <w:bCs/>
        </w:rPr>
        <w:t>Agree</w:t>
      </w:r>
      <w:r>
        <w:t xml:space="preserve"> the Proposed Solution</w:t>
      </w:r>
    </w:p>
    <w:p w14:paraId="3B25CE8F" w14:textId="06055038" w:rsidR="0091216F" w:rsidRDefault="0091216F" w:rsidP="00BF5368">
      <w:pPr>
        <w:pStyle w:val="ListParagraph"/>
      </w:pPr>
      <w:r w:rsidRPr="0091216F">
        <w:rPr>
          <w:b/>
          <w:bCs/>
        </w:rPr>
        <w:t>Agree</w:t>
      </w:r>
      <w:r>
        <w:t xml:space="preserve"> the sub-options of the Proposed Solution</w:t>
      </w:r>
    </w:p>
    <w:p w14:paraId="14E32A4C" w14:textId="311BABB5" w:rsidR="0091216F" w:rsidRDefault="0091216F" w:rsidP="00BF5368">
      <w:pPr>
        <w:pStyle w:val="ListParagraph"/>
      </w:pPr>
      <w:r w:rsidRPr="0091216F">
        <w:rPr>
          <w:b/>
          <w:bCs/>
        </w:rPr>
        <w:t>Note</w:t>
      </w:r>
      <w:r>
        <w:t xml:space="preserve"> the breakdown of the Proposed Solution costs</w:t>
      </w:r>
    </w:p>
    <w:p w14:paraId="0D970A36" w14:textId="5CFE1578" w:rsidR="0091216F" w:rsidRDefault="0091216F" w:rsidP="00BF5368">
      <w:pPr>
        <w:pStyle w:val="ListParagraph"/>
      </w:pPr>
      <w:r w:rsidRPr="0091216F">
        <w:rPr>
          <w:b/>
          <w:bCs/>
        </w:rPr>
        <w:t>Note</w:t>
      </w:r>
      <w:r>
        <w:t xml:space="preserve"> the scope of the Network Evolution Programme</w:t>
      </w:r>
    </w:p>
    <w:p w14:paraId="1A8A795C" w14:textId="05A005DF" w:rsidR="0091216F" w:rsidRPr="0091216F" w:rsidRDefault="0091216F" w:rsidP="00BF5368">
      <w:pPr>
        <w:pStyle w:val="ListParagraph"/>
      </w:pPr>
      <w:r w:rsidRPr="0091216F">
        <w:rPr>
          <w:b/>
          <w:bCs/>
        </w:rPr>
        <w:t>Agree</w:t>
      </w:r>
      <w:r>
        <w:t xml:space="preserve"> the next steps of the modification</w:t>
      </w:r>
    </w:p>
    <w:p w14:paraId="333DD717" w14:textId="77777777" w:rsidR="00BF5368" w:rsidRDefault="00BF5368" w:rsidP="000055AC"/>
    <w:p w14:paraId="4C3492B5" w14:textId="77777777" w:rsidR="000055AC" w:rsidRDefault="000055AC" w:rsidP="00F556BC">
      <w:pPr>
        <w:pStyle w:val="Subheading"/>
      </w:pPr>
      <w:r w:rsidRPr="009949FA">
        <w:t>Issue</w:t>
      </w:r>
      <w:r>
        <w:t>:</w:t>
      </w:r>
    </w:p>
    <w:p w14:paraId="7FAA8C94" w14:textId="0FFA2669" w:rsidR="009949FA" w:rsidRDefault="00173D84" w:rsidP="000D7BCC">
      <w:pPr>
        <w:pStyle w:val="ListParagraph"/>
      </w:pPr>
      <w:r>
        <w:t>Smart Energy Code (SEC) Section H ‘DCC Services’ H3.14</w:t>
      </w:r>
      <w:r w:rsidR="00E229DF">
        <w:t>(g)</w:t>
      </w:r>
      <w:r>
        <w:t xml:space="preserve"> states that </w:t>
      </w:r>
      <w:r w:rsidRPr="00173D84">
        <w:t>Alerts must be sent to the U</w:t>
      </w:r>
      <w:r>
        <w:t>ser</w:t>
      </w:r>
      <w:r w:rsidRPr="00173D84">
        <w:t xml:space="preserve">, in this case the </w:t>
      </w:r>
      <w:r w:rsidR="00C509B8">
        <w:t>Distribution Network Operator (</w:t>
      </w:r>
      <w:r w:rsidRPr="00173D84">
        <w:t>DNO</w:t>
      </w:r>
      <w:r w:rsidR="00C509B8">
        <w:t>)</w:t>
      </w:r>
      <w:r w:rsidRPr="00173D84">
        <w:t>, within 60 seconds which is measured from the Alert being communicated to or generated by the Communications Hub</w:t>
      </w:r>
      <w:r>
        <w:t>. This includes Power Outage Alerts (POAs) and Power Restoration Alerts (PRAs).</w:t>
      </w:r>
    </w:p>
    <w:p w14:paraId="60A5FC45" w14:textId="0DA2B67D" w:rsidR="00507273" w:rsidRDefault="00173D84" w:rsidP="000D7BCC">
      <w:pPr>
        <w:pStyle w:val="ListParagraph"/>
      </w:pPr>
      <w:r>
        <w:t>The DCC are currently non-compliant with the SEC.</w:t>
      </w:r>
    </w:p>
    <w:p w14:paraId="177A1A6E" w14:textId="27C6E762" w:rsidR="00E6727F" w:rsidRDefault="00173D84" w:rsidP="000D7BCC">
      <w:pPr>
        <w:pStyle w:val="ListParagraph"/>
      </w:pPr>
      <w:r>
        <w:t xml:space="preserve">Due to Communications Hub </w:t>
      </w:r>
      <w:r w:rsidR="00DC2C37">
        <w:t xml:space="preserve">(CH) </w:t>
      </w:r>
      <w:r>
        <w:t>and Network design constraints, the DCC cannot meet the SEC obligation in its current form.</w:t>
      </w:r>
    </w:p>
    <w:p w14:paraId="516CCA7A" w14:textId="58CD49EF" w:rsidR="00173D84" w:rsidRDefault="00173D84" w:rsidP="000D7BCC">
      <w:pPr>
        <w:pStyle w:val="ListParagraph"/>
      </w:pPr>
      <w:r>
        <w:t xml:space="preserve">Primary impact: </w:t>
      </w:r>
      <w:r w:rsidRPr="00173D84">
        <w:t>DNOs are not able to deliver the expected benefits and cost efficiencies from smart meter POAs and PRAs</w:t>
      </w:r>
      <w:r>
        <w:t>.</w:t>
      </w:r>
    </w:p>
    <w:p w14:paraId="62040712" w14:textId="77777777" w:rsidR="00583EC5" w:rsidRDefault="00583EC5" w:rsidP="00D160AF"/>
    <w:p w14:paraId="3C3F8A68" w14:textId="165EE8F7" w:rsidR="005776F4" w:rsidRDefault="005E6819" w:rsidP="00F556BC">
      <w:pPr>
        <w:pStyle w:val="Subheading"/>
      </w:pPr>
      <w:r>
        <w:t>RFI proposed solution options</w:t>
      </w:r>
      <w:r w:rsidR="005776F4">
        <w:t>:</w:t>
      </w:r>
    </w:p>
    <w:p w14:paraId="08CEA17A" w14:textId="4BEEF2B6" w:rsidR="00F27364" w:rsidRDefault="00F27364" w:rsidP="00F27364">
      <w:pPr>
        <w:pStyle w:val="ListParagraph"/>
      </w:pPr>
      <w:r w:rsidRPr="00BF5368">
        <w:rPr>
          <w:b/>
          <w:bCs/>
        </w:rPr>
        <w:t>Option 1 –</w:t>
      </w:r>
      <w:r>
        <w:t xml:space="preserve"> Do nothing</w:t>
      </w:r>
      <w:r w:rsidR="00E229DF">
        <w:t xml:space="preserve"> (two supportive respondents)</w:t>
      </w:r>
    </w:p>
    <w:p w14:paraId="4EDAF95B" w14:textId="0540E8ED" w:rsidR="00F27364" w:rsidRDefault="00F27364" w:rsidP="00F27364">
      <w:pPr>
        <w:pStyle w:val="ListParagraph"/>
      </w:pPr>
      <w:r w:rsidRPr="00BF5368">
        <w:rPr>
          <w:b/>
          <w:bCs/>
        </w:rPr>
        <w:t>Option 2 –</w:t>
      </w:r>
      <w:r>
        <w:t xml:space="preserve"> </w:t>
      </w:r>
      <w:bookmarkStart w:id="0" w:name="_Hlk73542387"/>
      <w:r>
        <w:t>Change the SEC to current DCC performance</w:t>
      </w:r>
      <w:r w:rsidR="00E229DF">
        <w:t xml:space="preserve"> (four supportive respondents)</w:t>
      </w:r>
    </w:p>
    <w:bookmarkEnd w:id="0"/>
    <w:p w14:paraId="00C0B43B" w14:textId="7F4610FB" w:rsidR="00F27364" w:rsidRDefault="00F27364" w:rsidP="00F27364">
      <w:pPr>
        <w:pStyle w:val="ListParagraph"/>
      </w:pPr>
      <w:r w:rsidRPr="00BF5368">
        <w:rPr>
          <w:b/>
          <w:bCs/>
        </w:rPr>
        <w:t>Option 3 –</w:t>
      </w:r>
      <w:r>
        <w:t xml:space="preserve"> Change the SEC following implementing system improvement</w:t>
      </w:r>
      <w:r w:rsidR="00E229DF">
        <w:t xml:space="preserve"> (two supportive respondents)</w:t>
      </w:r>
    </w:p>
    <w:p w14:paraId="4899CA89" w14:textId="04B037A6" w:rsidR="00F27364" w:rsidRDefault="00F27364" w:rsidP="00F27364">
      <w:pPr>
        <w:pStyle w:val="ListParagraph"/>
        <w:numPr>
          <w:ilvl w:val="1"/>
          <w:numId w:val="3"/>
        </w:numPr>
      </w:pPr>
      <w:r>
        <w:t>Option 3A – Minimum change required to deliver a significant improvement</w:t>
      </w:r>
    </w:p>
    <w:p w14:paraId="0E357B09" w14:textId="2B528BEF" w:rsidR="00F27364" w:rsidRDefault="00F27364" w:rsidP="00F27364">
      <w:pPr>
        <w:pStyle w:val="ListParagraph"/>
        <w:numPr>
          <w:ilvl w:val="0"/>
          <w:numId w:val="0"/>
        </w:numPr>
        <w:ind w:left="1440"/>
      </w:pPr>
      <w:r>
        <w:t>This assumes that a select number of the changes assessed that deliver the largest improvement in performance are implemented, and the rest of the changes are disregarded.</w:t>
      </w:r>
    </w:p>
    <w:p w14:paraId="48D86743" w14:textId="77538EA1" w:rsidR="00F27364" w:rsidRDefault="00F27364" w:rsidP="00F27364">
      <w:pPr>
        <w:pStyle w:val="ListParagraph"/>
        <w:numPr>
          <w:ilvl w:val="1"/>
          <w:numId w:val="3"/>
        </w:numPr>
      </w:pPr>
      <w:r>
        <w:lastRenderedPageBreak/>
        <w:t xml:space="preserve">Option 3B – Maximum performance improvement </w:t>
      </w:r>
    </w:p>
    <w:p w14:paraId="18CF088C" w14:textId="4973499E" w:rsidR="00F27364" w:rsidRDefault="00F27364" w:rsidP="00F27364">
      <w:pPr>
        <w:pStyle w:val="ListParagraph"/>
        <w:numPr>
          <w:ilvl w:val="0"/>
          <w:numId w:val="0"/>
        </w:numPr>
        <w:ind w:left="1440"/>
      </w:pPr>
      <w:r>
        <w:t>This option implements all system changes assessed which improve the speed and quality to deliver a POA or PRA.</w:t>
      </w:r>
    </w:p>
    <w:p w14:paraId="066DFB76" w14:textId="77777777" w:rsidR="004F0847" w:rsidRDefault="004F0847" w:rsidP="004F0847"/>
    <w:p w14:paraId="4454A3C6" w14:textId="5ACC65F7" w:rsidR="004F0847" w:rsidRDefault="004F0847" w:rsidP="004F0847">
      <w:pPr>
        <w:pStyle w:val="Subheading"/>
      </w:pPr>
      <w:r>
        <w:t>Proposed Solution sub-options (amend the SEC to current DCC performance):</w:t>
      </w:r>
    </w:p>
    <w:p w14:paraId="47FFEB9C" w14:textId="1AEB0D71" w:rsidR="004657E6" w:rsidRPr="004F0847" w:rsidRDefault="004657E6" w:rsidP="004657E6">
      <w:pPr>
        <w:pStyle w:val="ListParagraph"/>
        <w:numPr>
          <w:ilvl w:val="1"/>
          <w:numId w:val="3"/>
        </w:numPr>
      </w:pPr>
      <w:r>
        <w:rPr>
          <w:b/>
          <w:bCs/>
        </w:rPr>
        <w:t xml:space="preserve">Sub-option 1 </w:t>
      </w:r>
      <w:r w:rsidRPr="004657E6">
        <w:t xml:space="preserve">– </w:t>
      </w:r>
      <w:r>
        <w:t xml:space="preserve">split </w:t>
      </w:r>
      <w:r w:rsidR="001C0D93">
        <w:t>Communication Service Provider (</w:t>
      </w:r>
      <w:r>
        <w:t>CSP</w:t>
      </w:r>
      <w:r w:rsidR="001C0D93">
        <w:t>)</w:t>
      </w:r>
      <w:r>
        <w:t xml:space="preserve"> POA/PRA performance requirements.</w:t>
      </w:r>
    </w:p>
    <w:p w14:paraId="3FFE9B9C" w14:textId="347ADA2D" w:rsidR="004657E6" w:rsidRDefault="004657E6" w:rsidP="004657E6">
      <w:pPr>
        <w:pStyle w:val="ListParagraph"/>
        <w:numPr>
          <w:ilvl w:val="1"/>
          <w:numId w:val="3"/>
        </w:numPr>
      </w:pPr>
      <w:r>
        <w:rPr>
          <w:b/>
          <w:bCs/>
        </w:rPr>
        <w:t xml:space="preserve">Sub-option 2 </w:t>
      </w:r>
      <w:r w:rsidRPr="004657E6">
        <w:t xml:space="preserve">– </w:t>
      </w:r>
      <w:r>
        <w:t>volumetric-based performance requirements.</w:t>
      </w:r>
    </w:p>
    <w:p w14:paraId="2701AD9C" w14:textId="7412EB1D" w:rsidR="004F0847" w:rsidRDefault="004657E6" w:rsidP="005E6819">
      <w:pPr>
        <w:pStyle w:val="ListParagraph"/>
        <w:numPr>
          <w:ilvl w:val="1"/>
          <w:numId w:val="3"/>
        </w:numPr>
      </w:pPr>
      <w:r>
        <w:rPr>
          <w:b/>
          <w:bCs/>
        </w:rPr>
        <w:t xml:space="preserve">Sub-option 3 </w:t>
      </w:r>
      <w:r w:rsidRPr="004657E6">
        <w:t xml:space="preserve">– </w:t>
      </w:r>
      <w:r>
        <w:t>Lowest common denominator performance requirements.</w:t>
      </w:r>
    </w:p>
    <w:p w14:paraId="7BE21D41" w14:textId="77777777" w:rsidR="004F0847" w:rsidRDefault="004F0847" w:rsidP="00E229DF">
      <w:pPr>
        <w:pStyle w:val="Subheading"/>
      </w:pPr>
    </w:p>
    <w:p w14:paraId="312BE1ED" w14:textId="06D03085" w:rsidR="00E229DF" w:rsidRDefault="00E229DF" w:rsidP="00E229DF">
      <w:pPr>
        <w:pStyle w:val="Subheading"/>
      </w:pPr>
      <w:r>
        <w:t>OPSG key points:</w:t>
      </w:r>
    </w:p>
    <w:p w14:paraId="7B8703B5" w14:textId="14D7CFC2" w:rsidR="00E229DF" w:rsidRPr="004F0847" w:rsidRDefault="004F0847" w:rsidP="00E229DF">
      <w:pPr>
        <w:pStyle w:val="ListParagraph"/>
        <w:numPr>
          <w:ilvl w:val="1"/>
          <w:numId w:val="3"/>
        </w:numPr>
      </w:pPr>
      <w:r w:rsidRPr="004F0847">
        <w:t>Advised against sub-option 3 as it would allow the better performing CSP to reduce its performance.</w:t>
      </w:r>
    </w:p>
    <w:p w14:paraId="2FEAC3EC" w14:textId="59553B35" w:rsidR="004F0847" w:rsidRPr="004F0847" w:rsidRDefault="004F0847" w:rsidP="00E229DF">
      <w:pPr>
        <w:pStyle w:val="ListParagraph"/>
        <w:numPr>
          <w:ilvl w:val="1"/>
          <w:numId w:val="3"/>
        </w:numPr>
      </w:pPr>
      <w:r w:rsidRPr="004F0847">
        <w:t xml:space="preserve">Advised that a possible divergence in CSP </w:t>
      </w:r>
      <w:r w:rsidR="000B7319">
        <w:t>Service Level Agreements (</w:t>
      </w:r>
      <w:r w:rsidRPr="004F0847">
        <w:t>SLAs</w:t>
      </w:r>
      <w:r w:rsidR="000B7319">
        <w:t>)</w:t>
      </w:r>
      <w:r w:rsidRPr="004F0847">
        <w:t xml:space="preserve"> is deemed high risk.</w:t>
      </w:r>
    </w:p>
    <w:p w14:paraId="36FDA6AE" w14:textId="5874D337" w:rsidR="004F0847" w:rsidRPr="004F0847" w:rsidRDefault="004F0847" w:rsidP="00E229DF">
      <w:pPr>
        <w:pStyle w:val="ListParagraph"/>
        <w:numPr>
          <w:ilvl w:val="1"/>
          <w:numId w:val="3"/>
        </w:numPr>
      </w:pPr>
      <w:r w:rsidRPr="004F0847">
        <w:t>Due to members not being fully up to speed with the modification, OPSG did not provide a clear steer on any one Proposed Solution.</w:t>
      </w:r>
    </w:p>
    <w:p w14:paraId="24B31040" w14:textId="77777777" w:rsidR="00E229DF" w:rsidRDefault="00E229DF" w:rsidP="00E229DF">
      <w:pPr>
        <w:pStyle w:val="Subheading"/>
      </w:pPr>
    </w:p>
    <w:p w14:paraId="05A622F4" w14:textId="55E48FAF" w:rsidR="00E229DF" w:rsidRDefault="00E229DF" w:rsidP="00E229DF">
      <w:pPr>
        <w:pStyle w:val="Subheading"/>
      </w:pPr>
      <w:r>
        <w:t>TABASC key points:</w:t>
      </w:r>
    </w:p>
    <w:p w14:paraId="5197A934" w14:textId="12824EAD" w:rsidR="00E229DF" w:rsidRPr="004F0847" w:rsidRDefault="004F0847" w:rsidP="00E229DF">
      <w:pPr>
        <w:pStyle w:val="ListParagraph"/>
        <w:numPr>
          <w:ilvl w:val="1"/>
          <w:numId w:val="3"/>
        </w:numPr>
      </w:pPr>
      <w:r w:rsidRPr="004F0847">
        <w:t xml:space="preserve">Advised that an overarching requirement for next generation </w:t>
      </w:r>
      <w:r w:rsidR="00DC2C37">
        <w:t>CHs</w:t>
      </w:r>
      <w:r w:rsidRPr="004F0847">
        <w:t xml:space="preserve"> to meet the SEC as currently written should be included in the legal text.</w:t>
      </w:r>
    </w:p>
    <w:p w14:paraId="43D759A2" w14:textId="5765C446" w:rsidR="004F0847" w:rsidRPr="004F0847" w:rsidRDefault="004F0847" w:rsidP="00E229DF">
      <w:pPr>
        <w:pStyle w:val="ListParagraph"/>
        <w:numPr>
          <w:ilvl w:val="1"/>
          <w:numId w:val="3"/>
        </w:numPr>
      </w:pPr>
      <w:r w:rsidRPr="004F0847">
        <w:t xml:space="preserve">During the meeting the DCC commented that next generation </w:t>
      </w:r>
      <w:r w:rsidR="00DC2C37">
        <w:t>CH</w:t>
      </w:r>
      <w:r w:rsidRPr="004F0847">
        <w:t xml:space="preserve"> bidders have expressed no concern in meeting the current SEC requirement.</w:t>
      </w:r>
    </w:p>
    <w:p w14:paraId="33A812D5" w14:textId="1BDFB727" w:rsidR="004F0847" w:rsidRPr="004F0847" w:rsidRDefault="004F0847" w:rsidP="00E229DF">
      <w:pPr>
        <w:pStyle w:val="ListParagraph"/>
        <w:numPr>
          <w:ilvl w:val="1"/>
          <w:numId w:val="3"/>
        </w:numPr>
      </w:pPr>
      <w:r w:rsidRPr="004F0847">
        <w:t>The TABASC was in favour of the ‘do nothing’ option, though did not suggest any financial penalties for non-compliance.</w:t>
      </w:r>
    </w:p>
    <w:p w14:paraId="2ADC3093" w14:textId="3786C4F6" w:rsidR="00E229DF" w:rsidRDefault="00E229DF" w:rsidP="00E229DF"/>
    <w:p w14:paraId="2CF54E6A" w14:textId="0E709221" w:rsidR="00E229DF" w:rsidRDefault="00E229DF" w:rsidP="00E229DF">
      <w:pPr>
        <w:pStyle w:val="Subheading"/>
      </w:pPr>
      <w:r>
        <w:t>Proposed Solution cost-benefit analysis:</w:t>
      </w:r>
    </w:p>
    <w:p w14:paraId="109582A8" w14:textId="23C09E5B" w:rsidR="004657E6" w:rsidRPr="004F0847" w:rsidRDefault="004657E6" w:rsidP="004657E6">
      <w:pPr>
        <w:pStyle w:val="ListParagraph"/>
        <w:numPr>
          <w:ilvl w:val="1"/>
          <w:numId w:val="3"/>
        </w:numPr>
      </w:pPr>
      <w:r>
        <w:rPr>
          <w:b/>
          <w:bCs/>
        </w:rPr>
        <w:t xml:space="preserve">Option 1 </w:t>
      </w:r>
      <w:r w:rsidRPr="004657E6">
        <w:t xml:space="preserve">– </w:t>
      </w:r>
      <w:r w:rsidR="000B7319">
        <w:t xml:space="preserve">Do nothing / </w:t>
      </w:r>
      <w:r w:rsidRPr="004657E6">
        <w:t>Request further derogation – no associated costs</w:t>
      </w:r>
    </w:p>
    <w:p w14:paraId="52C21569" w14:textId="77777777" w:rsidR="004657E6" w:rsidRDefault="004657E6" w:rsidP="004657E6">
      <w:pPr>
        <w:pStyle w:val="ListParagraph"/>
        <w:numPr>
          <w:ilvl w:val="1"/>
          <w:numId w:val="3"/>
        </w:numPr>
      </w:pPr>
      <w:r>
        <w:rPr>
          <w:b/>
          <w:bCs/>
        </w:rPr>
        <w:t xml:space="preserve">Option 2A </w:t>
      </w:r>
      <w:r w:rsidRPr="004657E6">
        <w:t>– Change SEC to current performance using DCC measurement framework with no Service Provider contract change - legal text change costed at approximately £600.</w:t>
      </w:r>
    </w:p>
    <w:p w14:paraId="7ABC47B0" w14:textId="77777777" w:rsidR="004657E6" w:rsidRDefault="004657E6" w:rsidP="004657E6">
      <w:pPr>
        <w:pStyle w:val="ListParagraph"/>
        <w:numPr>
          <w:ilvl w:val="1"/>
          <w:numId w:val="3"/>
        </w:numPr>
      </w:pPr>
      <w:r>
        <w:rPr>
          <w:b/>
          <w:bCs/>
        </w:rPr>
        <w:t xml:space="preserve">Option 2B </w:t>
      </w:r>
      <w:r w:rsidRPr="004657E6">
        <w:t>– Change SEC to current performance but using performance measurement captured by S</w:t>
      </w:r>
      <w:r>
        <w:t xml:space="preserve">ervice </w:t>
      </w:r>
      <w:r w:rsidRPr="004657E6">
        <w:t>P</w:t>
      </w:r>
      <w:r>
        <w:t>rovider</w:t>
      </w:r>
      <w:r w:rsidRPr="004657E6">
        <w:t>s and contracts changed</w:t>
      </w:r>
      <w:r>
        <w:t xml:space="preserve"> - £981,000.</w:t>
      </w:r>
    </w:p>
    <w:p w14:paraId="24173662" w14:textId="77777777" w:rsidR="004657E6" w:rsidRDefault="004657E6" w:rsidP="004657E6">
      <w:pPr>
        <w:pStyle w:val="ListParagraph"/>
        <w:numPr>
          <w:ilvl w:val="1"/>
          <w:numId w:val="3"/>
        </w:numPr>
      </w:pPr>
      <w:r>
        <w:rPr>
          <w:b/>
          <w:bCs/>
        </w:rPr>
        <w:t xml:space="preserve">Option 3A </w:t>
      </w:r>
      <w:r w:rsidRPr="004657E6">
        <w:t xml:space="preserve">– </w:t>
      </w:r>
      <w:r>
        <w:t>Minim</w:t>
      </w:r>
      <w:r w:rsidRPr="004657E6">
        <w:t>um change required to deliver a significant improvement</w:t>
      </w:r>
      <w:r>
        <w:t xml:space="preserve"> – £6.5M with annual costs of £700,000.</w:t>
      </w:r>
    </w:p>
    <w:p w14:paraId="298E026D" w14:textId="77777777" w:rsidR="004657E6" w:rsidRDefault="004657E6" w:rsidP="004657E6">
      <w:pPr>
        <w:pStyle w:val="ListParagraph"/>
        <w:numPr>
          <w:ilvl w:val="1"/>
          <w:numId w:val="3"/>
        </w:numPr>
      </w:pPr>
      <w:r w:rsidRPr="004657E6">
        <w:rPr>
          <w:b/>
          <w:bCs/>
        </w:rPr>
        <w:t xml:space="preserve">Option 3B </w:t>
      </w:r>
      <w:r w:rsidRPr="004657E6">
        <w:t xml:space="preserve">– Maximum performance achievement possible </w:t>
      </w:r>
      <w:r>
        <w:t>- £10.9M with annual costs of £700,000.</w:t>
      </w:r>
    </w:p>
    <w:p w14:paraId="483ED16E" w14:textId="514C75E2" w:rsidR="00E229DF" w:rsidRDefault="00E229DF" w:rsidP="00E229DF"/>
    <w:p w14:paraId="7D534108" w14:textId="5CB02B6E" w:rsidR="00E229DF" w:rsidRDefault="00E229DF" w:rsidP="00DC2C37">
      <w:pPr>
        <w:pStyle w:val="Subheading"/>
      </w:pPr>
      <w:r>
        <w:lastRenderedPageBreak/>
        <w:t>Measurement framework:</w:t>
      </w:r>
    </w:p>
    <w:p w14:paraId="21E01F6D" w14:textId="0010AC97" w:rsidR="00DC2C37" w:rsidRPr="00DC2C37" w:rsidRDefault="00DC2C37" w:rsidP="00DC2C37">
      <w:pPr>
        <w:pStyle w:val="ListParagraph"/>
        <w:numPr>
          <w:ilvl w:val="1"/>
          <w:numId w:val="3"/>
        </w:numPr>
      </w:pPr>
      <w:r w:rsidRPr="00DC2C37">
        <w:t>Use current DCC TOC capability to measure performance of AD1s, 8F35 and 8F36s</w:t>
      </w:r>
      <w:r>
        <w:t>.</w:t>
      </w:r>
    </w:p>
    <w:p w14:paraId="2E226819" w14:textId="2A39A236" w:rsidR="00DC2C37" w:rsidRPr="00DC2C37" w:rsidRDefault="00DC2C37" w:rsidP="00DC2C37">
      <w:pPr>
        <w:pStyle w:val="ListParagraph"/>
        <w:numPr>
          <w:ilvl w:val="1"/>
          <w:numId w:val="3"/>
        </w:numPr>
      </w:pPr>
      <w:r w:rsidRPr="00DC2C37">
        <w:t xml:space="preserve">Provide performance reports </w:t>
      </w:r>
      <w:proofErr w:type="gramStart"/>
      <w:r w:rsidRPr="00DC2C37">
        <w:t>on a monthly basis</w:t>
      </w:r>
      <w:proofErr w:type="gramEnd"/>
      <w:r w:rsidRPr="00DC2C37">
        <w:t xml:space="preserve"> for POA/PRA</w:t>
      </w:r>
      <w:r>
        <w:t>.</w:t>
      </w:r>
    </w:p>
    <w:p w14:paraId="79005634" w14:textId="78B09B10" w:rsidR="00DC2C37" w:rsidRPr="00DC2C37" w:rsidRDefault="00DC2C37" w:rsidP="00DC2C37">
      <w:pPr>
        <w:pStyle w:val="ListParagraph"/>
        <w:numPr>
          <w:ilvl w:val="1"/>
          <w:numId w:val="3"/>
        </w:numPr>
      </w:pPr>
      <w:r w:rsidRPr="00DC2C37">
        <w:t>Include a minimum of 6 months data, including data from the winter months (Dec, Jan &amp; Feb)</w:t>
      </w:r>
      <w:r>
        <w:t>.</w:t>
      </w:r>
    </w:p>
    <w:p w14:paraId="1CF801E7" w14:textId="3BE77694" w:rsidR="00DC2C37" w:rsidRPr="00DC2C37" w:rsidRDefault="00DC2C37" w:rsidP="00DC2C37">
      <w:pPr>
        <w:pStyle w:val="ListParagraph"/>
        <w:numPr>
          <w:ilvl w:val="1"/>
          <w:numId w:val="3"/>
        </w:numPr>
      </w:pPr>
      <w:r w:rsidRPr="00DC2C37">
        <w:t>DCC will review monthly performance measures with the DNOs</w:t>
      </w:r>
      <w:r>
        <w:t>.</w:t>
      </w:r>
    </w:p>
    <w:p w14:paraId="716DBBE1" w14:textId="67CCEE86" w:rsidR="00DC2C37" w:rsidRPr="00DC2C37" w:rsidRDefault="00DC2C37" w:rsidP="00DC2C37">
      <w:pPr>
        <w:pStyle w:val="ListParagraph"/>
        <w:numPr>
          <w:ilvl w:val="1"/>
          <w:numId w:val="3"/>
        </w:numPr>
      </w:pPr>
      <w:r w:rsidRPr="00DC2C37">
        <w:t xml:space="preserve">Final legal wording will </w:t>
      </w:r>
      <w:proofErr w:type="gramStart"/>
      <w:r w:rsidRPr="00DC2C37">
        <w:t>based</w:t>
      </w:r>
      <w:proofErr w:type="gramEnd"/>
      <w:r w:rsidRPr="00DC2C37">
        <w:t xml:space="preserve"> upon performance reports (up until the end of Feb 2022) as well as feedback from DNOs and Service Providers and use of legacy data to validate data integrity and future profile</w:t>
      </w:r>
      <w:r>
        <w:t>.</w:t>
      </w:r>
    </w:p>
    <w:p w14:paraId="19CD9316" w14:textId="43D54536" w:rsidR="00DC2C37" w:rsidRPr="00DC2C37" w:rsidRDefault="00DC2C37" w:rsidP="00DC2C37">
      <w:pPr>
        <w:pStyle w:val="ListParagraph"/>
        <w:numPr>
          <w:ilvl w:val="1"/>
          <w:numId w:val="3"/>
        </w:numPr>
      </w:pPr>
      <w:r w:rsidRPr="00DC2C37">
        <w:t>SEC change to be included in June 2022 SEC Release</w:t>
      </w:r>
      <w:r>
        <w:t>.</w:t>
      </w:r>
    </w:p>
    <w:p w14:paraId="6D7F0B20" w14:textId="77777777" w:rsidR="00DC2C37" w:rsidRPr="00DC2C37" w:rsidRDefault="00DC2C37" w:rsidP="00DC2C37"/>
    <w:p w14:paraId="305A132B" w14:textId="77777777" w:rsidR="00E229DF" w:rsidRDefault="00E229DF" w:rsidP="00E229DF">
      <w:pPr>
        <w:pStyle w:val="Subheading"/>
      </w:pPr>
      <w:r>
        <w:t>DCC TOC measurement methodology:</w:t>
      </w:r>
    </w:p>
    <w:p w14:paraId="19F3317E" w14:textId="702D5FB8" w:rsidR="004657E6" w:rsidRPr="004657E6" w:rsidRDefault="004657E6" w:rsidP="00D81F53">
      <w:pPr>
        <w:pStyle w:val="ListParagraph"/>
        <w:numPr>
          <w:ilvl w:val="1"/>
          <w:numId w:val="3"/>
        </w:numPr>
      </w:pPr>
      <w:r w:rsidRPr="004657E6">
        <w:t xml:space="preserve">Clock time stamp data is used to calculate the </w:t>
      </w:r>
      <w:r w:rsidR="00DC2C37" w:rsidRPr="004657E6">
        <w:t>end-to-end</w:t>
      </w:r>
      <w:r w:rsidRPr="004657E6">
        <w:t xml:space="preserve"> Journey of Alerts</w:t>
      </w:r>
      <w:r w:rsidR="00DC2C37" w:rsidRPr="00DC2C37">
        <w:t>.</w:t>
      </w:r>
    </w:p>
    <w:p w14:paraId="190598B4" w14:textId="17BE0FFB" w:rsidR="00E229DF" w:rsidRDefault="004657E6" w:rsidP="00670B12">
      <w:pPr>
        <w:pStyle w:val="ListParagraph"/>
        <w:numPr>
          <w:ilvl w:val="1"/>
          <w:numId w:val="3"/>
        </w:numPr>
      </w:pPr>
      <w:r w:rsidRPr="004657E6">
        <w:t xml:space="preserve">It includes confirmation from the DNO systems that the Alert </w:t>
      </w:r>
      <w:r w:rsidRPr="00DC2C37">
        <w:t>has been received</w:t>
      </w:r>
      <w:r w:rsidR="00DC2C37" w:rsidRPr="00DC2C37">
        <w:t>.</w:t>
      </w:r>
    </w:p>
    <w:p w14:paraId="7177C6A7" w14:textId="77777777" w:rsidR="00DC2C37" w:rsidRPr="00DC2C37" w:rsidRDefault="00DC2C37" w:rsidP="00DC2C37">
      <w:pPr>
        <w:pStyle w:val="ListParagraph"/>
        <w:numPr>
          <w:ilvl w:val="0"/>
          <w:numId w:val="0"/>
        </w:numPr>
        <w:ind w:left="1440"/>
      </w:pPr>
    </w:p>
    <w:p w14:paraId="31735B32" w14:textId="51A4E8CB" w:rsidR="00E229DF" w:rsidRDefault="00E229DF" w:rsidP="00E229DF">
      <w:pPr>
        <w:pStyle w:val="Subheading"/>
      </w:pPr>
      <w:r>
        <w:t>Scope of Network Evolution Programme:</w:t>
      </w:r>
    </w:p>
    <w:p w14:paraId="331AE70E" w14:textId="6A216FF5" w:rsidR="00DC2C37" w:rsidRPr="00DC2C37" w:rsidRDefault="00DC2C37" w:rsidP="00DC2C37">
      <w:pPr>
        <w:pStyle w:val="ListParagraph"/>
        <w:numPr>
          <w:ilvl w:val="1"/>
          <w:numId w:val="3"/>
        </w:numPr>
      </w:pPr>
      <w:r w:rsidRPr="00DC2C37">
        <w:t>Current Scope of Network Evolution Comm</w:t>
      </w:r>
      <w:r>
        <w:t>unication</w:t>
      </w:r>
      <w:r w:rsidRPr="00DC2C37">
        <w:t>s Hubs and Network (CH &amp; N) Programme.</w:t>
      </w:r>
    </w:p>
    <w:p w14:paraId="2A1EC4C0" w14:textId="77777777" w:rsidR="00DC2C37" w:rsidRPr="00DC2C37" w:rsidRDefault="00DC2C37" w:rsidP="00DC2C37">
      <w:pPr>
        <w:pStyle w:val="ListParagraph"/>
        <w:numPr>
          <w:ilvl w:val="1"/>
          <w:numId w:val="3"/>
        </w:numPr>
      </w:pPr>
      <w:r w:rsidRPr="00DC2C37">
        <w:t xml:space="preserve">The CH &amp; N programme includes the SEC and DNO requirements related to POA &amp; PRA. </w:t>
      </w:r>
    </w:p>
    <w:p w14:paraId="796ECA38" w14:textId="77777777" w:rsidR="00DC2C37" w:rsidRPr="00DC2C37" w:rsidRDefault="00DC2C37" w:rsidP="00DC2C37">
      <w:pPr>
        <w:pStyle w:val="ListParagraph"/>
        <w:numPr>
          <w:ilvl w:val="1"/>
          <w:numId w:val="3"/>
        </w:numPr>
      </w:pPr>
      <w:r w:rsidRPr="00DC2C37">
        <w:t>However, outcome specification for the CH &amp; N programme is subject to procurement and value for money assessment.</w:t>
      </w:r>
    </w:p>
    <w:p w14:paraId="2A50C9B2" w14:textId="77777777" w:rsidR="00DC2C37" w:rsidRPr="00DC2C37" w:rsidRDefault="00DC2C37" w:rsidP="00DC2C37">
      <w:pPr>
        <w:pStyle w:val="ListParagraph"/>
        <w:numPr>
          <w:ilvl w:val="1"/>
          <w:numId w:val="3"/>
        </w:numPr>
      </w:pPr>
      <w:r w:rsidRPr="00DC2C37">
        <w:t>It will only address the issues for newly installed 4G CHs in Central and South regions.</w:t>
      </w:r>
    </w:p>
    <w:p w14:paraId="7856752C" w14:textId="77777777" w:rsidR="00DC2C37" w:rsidRPr="00DC2C37" w:rsidRDefault="00DC2C37" w:rsidP="00DC2C37">
      <w:pPr>
        <w:pStyle w:val="ListParagraph"/>
        <w:numPr>
          <w:ilvl w:val="1"/>
          <w:numId w:val="3"/>
        </w:numPr>
      </w:pPr>
      <w:r w:rsidRPr="00DC2C37">
        <w:t>This will not address the issue for the Legacy (2G/3G &amp; RF) CHs including new install base in North region.</w:t>
      </w:r>
    </w:p>
    <w:p w14:paraId="316EA791" w14:textId="469784D6" w:rsidR="00E31D79" w:rsidRDefault="009949FA" w:rsidP="00F556BC">
      <w:pPr>
        <w:pStyle w:val="Subtitle"/>
      </w:pPr>
      <w:r>
        <w:t>Working Group d</w:t>
      </w:r>
      <w:r w:rsidR="00E31D79">
        <w:t>iscussions</w:t>
      </w:r>
    </w:p>
    <w:p w14:paraId="5AF22686" w14:textId="0DFBBBC3" w:rsidR="005278BD" w:rsidRDefault="005278BD" w:rsidP="00F85CE1">
      <w:r>
        <w:t xml:space="preserve">SECAS informed the Working Group of the objectives of the meeting and </w:t>
      </w:r>
      <w:r w:rsidR="00B265CF">
        <w:t xml:space="preserve">provided a summary of the tasks completed since MP096 was last discussed at the June 2021 SEC Working Group. </w:t>
      </w:r>
    </w:p>
    <w:p w14:paraId="63D20C3A" w14:textId="20B8EDE2" w:rsidR="00432505" w:rsidRDefault="007F5AAC" w:rsidP="00F85CE1">
      <w:r>
        <w:t xml:space="preserve">SECAS summarised the issue and the Working Group </w:t>
      </w:r>
      <w:r w:rsidR="00B265CF">
        <w:t>provided no further comments</w:t>
      </w:r>
      <w:r>
        <w:t>.</w:t>
      </w:r>
    </w:p>
    <w:p w14:paraId="17C9229D" w14:textId="77777777" w:rsidR="00E7629E" w:rsidRDefault="00E7629E" w:rsidP="00DC1C61">
      <w:pPr>
        <w:pStyle w:val="Subheading"/>
      </w:pPr>
    </w:p>
    <w:p w14:paraId="00A75145" w14:textId="0DCD4B29" w:rsidR="00B265CF" w:rsidRDefault="00DC1C61" w:rsidP="00DC1C61">
      <w:pPr>
        <w:pStyle w:val="Subheading"/>
      </w:pPr>
      <w:r>
        <w:t>Proposed Solution</w:t>
      </w:r>
    </w:p>
    <w:p w14:paraId="6F630A9A" w14:textId="1C0AC61A" w:rsidR="00432505" w:rsidRDefault="00DC1C61" w:rsidP="00B265CF">
      <w:r>
        <w:t xml:space="preserve">SECAS provided an in-depth review of the RFI responses, setting out the pros and cons for each Proposed Solution, as stated by the respondents. </w:t>
      </w:r>
      <w:r w:rsidR="00432505">
        <w:t>SECAS also updated the Working Group with the feedback received from the OPSG and TABASC. A Working Group member enquired about the current tender of next generation C</w:t>
      </w:r>
      <w:r w:rsidR="00126C8B">
        <w:t xml:space="preserve">ommunications </w:t>
      </w:r>
      <w:r w:rsidR="00432505">
        <w:t>H</w:t>
      </w:r>
      <w:r w:rsidR="00126C8B">
        <w:t>ub</w:t>
      </w:r>
      <w:r w:rsidR="00432505">
        <w:t>s. The DCC confirmed that the ask of next generation C</w:t>
      </w:r>
      <w:r w:rsidR="00126C8B">
        <w:t xml:space="preserve">ommunications </w:t>
      </w:r>
      <w:r w:rsidR="00432505">
        <w:t>H</w:t>
      </w:r>
      <w:r w:rsidR="00126C8B">
        <w:t>ubs</w:t>
      </w:r>
      <w:r w:rsidR="00432505">
        <w:t xml:space="preserve"> bidders is to meet the SEC as currently written. </w:t>
      </w:r>
    </w:p>
    <w:p w14:paraId="5821F5EB" w14:textId="4085FDB6" w:rsidR="00B265CF" w:rsidRDefault="00DC1C61" w:rsidP="00B265CF">
      <w:r>
        <w:lastRenderedPageBreak/>
        <w:t>Taking this information into consideration, the Working Group agreed that amending the SEC to current DCC performance (to be finalised in February 2022) is the most suitable solution.</w:t>
      </w:r>
    </w:p>
    <w:p w14:paraId="3D44BABB" w14:textId="3600C51F" w:rsidR="00DC1C61" w:rsidRDefault="00DC1C61" w:rsidP="00B265CF">
      <w:r>
        <w:t>The DCC informed the Working Group that they had broken this Proposed Solution into two separate options:</w:t>
      </w:r>
    </w:p>
    <w:p w14:paraId="422AD8DD" w14:textId="0C5C9A08" w:rsidR="00DC1C61" w:rsidRDefault="00DC1C61" w:rsidP="00DC1C61">
      <w:pPr>
        <w:pStyle w:val="ListParagraph"/>
        <w:numPr>
          <w:ilvl w:val="1"/>
          <w:numId w:val="3"/>
        </w:numPr>
      </w:pPr>
      <w:r>
        <w:rPr>
          <w:b/>
          <w:bCs/>
        </w:rPr>
        <w:t xml:space="preserve">Option 2A </w:t>
      </w:r>
      <w:r w:rsidRPr="004657E6">
        <w:t>– Change SEC to current performance using DCC measurement framework with no Service Provider contract change - legal text change costed at approximately £600.</w:t>
      </w:r>
    </w:p>
    <w:p w14:paraId="779925F0" w14:textId="77777777" w:rsidR="00DC1C61" w:rsidRDefault="00DC1C61" w:rsidP="00DC1C61">
      <w:pPr>
        <w:pStyle w:val="ListParagraph"/>
        <w:numPr>
          <w:ilvl w:val="1"/>
          <w:numId w:val="3"/>
        </w:numPr>
      </w:pPr>
      <w:r>
        <w:rPr>
          <w:b/>
          <w:bCs/>
        </w:rPr>
        <w:t xml:space="preserve">Option 2B </w:t>
      </w:r>
      <w:r w:rsidRPr="004657E6">
        <w:t>– Change SEC to current performance but using performance measurement captured by S</w:t>
      </w:r>
      <w:r>
        <w:t xml:space="preserve">ervice </w:t>
      </w:r>
      <w:r w:rsidRPr="004657E6">
        <w:t>P</w:t>
      </w:r>
      <w:r>
        <w:t>rovider</w:t>
      </w:r>
      <w:r w:rsidRPr="004657E6">
        <w:t>s and contracts changed</w:t>
      </w:r>
      <w:r>
        <w:t xml:space="preserve"> - £981,000.</w:t>
      </w:r>
    </w:p>
    <w:p w14:paraId="5D855A35" w14:textId="0D59FAA5" w:rsidR="001C457A" w:rsidRDefault="00DC1C61" w:rsidP="00DC1C61">
      <w:r>
        <w:t xml:space="preserve">A Networks Party stated that </w:t>
      </w:r>
      <w:proofErr w:type="gramStart"/>
      <w:r>
        <w:t>in order to</w:t>
      </w:r>
      <w:proofErr w:type="gramEnd"/>
      <w:r>
        <w:t xml:space="preserve"> deliver Option 2B, the DCC would have to consider the impact of polyphase </w:t>
      </w:r>
      <w:r w:rsidR="001C0D93">
        <w:t>Electricity Smart Metering Equipment (</w:t>
      </w:r>
      <w:r>
        <w:t>ESME</w:t>
      </w:r>
      <w:r w:rsidR="001C0D93">
        <w:t>)</w:t>
      </w:r>
      <w:r>
        <w:t xml:space="preserve">. This is due to different types of Power Outage Alerts being generated when individual phases lose power (this does not result in an AD1, 8F35 or 8F36 being generated). They did however state their dissatisfaction with the high costs associated with Option 2B </w:t>
      </w:r>
      <w:r w:rsidR="001C457A">
        <w:t xml:space="preserve">as Parties would ultimately have to pay for the </w:t>
      </w:r>
      <w:r w:rsidR="00126C8B">
        <w:t xml:space="preserve">DCC </w:t>
      </w:r>
      <w:r w:rsidR="001C457A">
        <w:t>non-compliance.</w:t>
      </w:r>
    </w:p>
    <w:p w14:paraId="578DD7B5" w14:textId="2F87D2DD" w:rsidR="00DC1C61" w:rsidRDefault="001C457A" w:rsidP="00DC1C61">
      <w:r>
        <w:t xml:space="preserve">A Large Supplier stated that since the DCC’s Technical Study, CSP North has carried out system improvements at their own </w:t>
      </w:r>
      <w:proofErr w:type="gramStart"/>
      <w:r>
        <w:t>expense, and</w:t>
      </w:r>
      <w:proofErr w:type="gramEnd"/>
      <w:r>
        <w:t xml:space="preserve"> enquired if the DCC had seen any improvements in terms of time and volume of Alerts. The DCC stated that it is currently difficult to trace back to specific system improvements, though in the future if MP096 is approved, the DCC will be able to trace system improvements through the measurement framework.</w:t>
      </w:r>
    </w:p>
    <w:p w14:paraId="253FDD32" w14:textId="574E582C" w:rsidR="001C457A" w:rsidRDefault="001C457A" w:rsidP="00DC1C61">
      <w:r>
        <w:t>A comment was received regarding the increase in C</w:t>
      </w:r>
      <w:r w:rsidR="00126C8B">
        <w:t xml:space="preserve">ommunications </w:t>
      </w:r>
      <w:r>
        <w:t>H</w:t>
      </w:r>
      <w:r w:rsidR="00126C8B">
        <w:t>ub</w:t>
      </w:r>
      <w:r>
        <w:t xml:space="preserve">s installed in the North region and the impact this may have on the network. The DCC responded stating that in terms of POA and PRA performance, CSP N performs at a very high level, and that the DCC will use extensive </w:t>
      </w:r>
      <w:r w:rsidR="00116EAB">
        <w:t>Technical Operations Centre (</w:t>
      </w:r>
      <w:r>
        <w:t>TOC</w:t>
      </w:r>
      <w:r w:rsidR="00116EAB">
        <w:t>)</w:t>
      </w:r>
      <w:r>
        <w:t xml:space="preserve"> and CSP modelling to futureproof the solution.</w:t>
      </w:r>
    </w:p>
    <w:p w14:paraId="36BE405E" w14:textId="5EDDC339" w:rsidR="000B3CC7" w:rsidRDefault="000B3CC7" w:rsidP="00DC1C61">
      <w:r>
        <w:t xml:space="preserve">The DCC informed the Working Group that it is their intent to progress Option 2A. A Network Party agreed with this approach, however another voiced concern regarding capturing true performance. This relates to the added CSP measurement capability under Option 2B. The DCC stated that they would continue to work with the CSPs to better understand their performance and then meet with Networks Parties </w:t>
      </w:r>
      <w:proofErr w:type="gramStart"/>
      <w:r>
        <w:t>on a monthly basis</w:t>
      </w:r>
      <w:proofErr w:type="gramEnd"/>
      <w:r>
        <w:t xml:space="preserve"> to ensure that what is written into the SEC is accurate. If after the measurement project is completed the level of accuracy is deemed inadequate, the DCC advised that Option 2B can be revisited. SECAS sought the views of </w:t>
      </w:r>
      <w:r w:rsidR="00126C8B">
        <w:t xml:space="preserve">other Sec Party Categories. A </w:t>
      </w:r>
      <w:r>
        <w:t>Large Supplier commented that they would like some time to process all available information before providing an opinion.</w:t>
      </w:r>
    </w:p>
    <w:p w14:paraId="3A680A66" w14:textId="1421149C" w:rsidR="00655178" w:rsidRDefault="00655178" w:rsidP="00DC1C61">
      <w:r>
        <w:t>A Working Group member stated that it would be beneficial to fully understand how the smart network operates to try to identify areas for improvement. The DCC advised that this had been investigated extensively during their technical study. The DCC also commented that any potential system improvements would be implemented through separate SEC Modifications, and not through MP096.</w:t>
      </w:r>
    </w:p>
    <w:p w14:paraId="4389B486" w14:textId="14DF42C9" w:rsidR="00DB1328" w:rsidRDefault="00DB1328" w:rsidP="00DC1C61"/>
    <w:p w14:paraId="4D90AB43" w14:textId="1122F5BC" w:rsidR="00DB1328" w:rsidRDefault="00DB1328" w:rsidP="00DB1328">
      <w:pPr>
        <w:pStyle w:val="Subheading"/>
      </w:pPr>
      <w:r>
        <w:t>Proposed Solution sub-options</w:t>
      </w:r>
    </w:p>
    <w:p w14:paraId="0539DDEE" w14:textId="01B722E9" w:rsidR="00DB1328" w:rsidRPr="00DB1328" w:rsidRDefault="00DB1328" w:rsidP="00DB1328">
      <w:r>
        <w:t xml:space="preserve">SECAS and the DCC provided an overview of the sub-options which have been developed since the last Working Group meeting. The Working Group have requested that the Alert measurement project is completed before deciding on which sub-option to take forward. SECAS agreed to </w:t>
      </w:r>
      <w:r w:rsidR="000B7319">
        <w:t>seek feedback</w:t>
      </w:r>
      <w:r>
        <w:t xml:space="preserve"> on each sub-option through the Refinement Consultation. The Working Group did however advise that it would be preferable to not baseline the performance to the lowest common denominator.</w:t>
      </w:r>
    </w:p>
    <w:p w14:paraId="5696F739" w14:textId="5A0B8FD5" w:rsidR="00DC1C61" w:rsidRDefault="00DC1C61" w:rsidP="00B265CF"/>
    <w:p w14:paraId="0BBBB3D7" w14:textId="66052C2C" w:rsidR="00432505" w:rsidRDefault="00432505" w:rsidP="00432505">
      <w:pPr>
        <w:pStyle w:val="Subheading"/>
      </w:pPr>
      <w:r>
        <w:t xml:space="preserve">Clock drift </w:t>
      </w:r>
    </w:p>
    <w:p w14:paraId="0899B4DA" w14:textId="04851F5D" w:rsidR="00432505" w:rsidRDefault="00432505" w:rsidP="00B265CF">
      <w:r>
        <w:t>A Networks Party queried the wider issue of clock drift which impacts the accuracy of Alerts and subsequent reporting.</w:t>
      </w:r>
      <w:r w:rsidR="00EF4D87">
        <w:t xml:space="preserve"> This can result in Alerts being timestamped with inaccurate times compared to when they are received by the Network Party. The DCC confirmed that they are currently working with both CSPs to address the issue. To mitigate clock drift-associated inaccuracies, the DCC intend on us</w:t>
      </w:r>
      <w:r w:rsidR="000B7319">
        <w:t>ing</w:t>
      </w:r>
      <w:r w:rsidR="00EF4D87">
        <w:t xml:space="preserve"> an interim solution, with the </w:t>
      </w:r>
      <w:r w:rsidR="000B7319">
        <w:t>expectation</w:t>
      </w:r>
      <w:r w:rsidR="00EF4D87">
        <w:t xml:space="preserve"> that the clock drift issue will be resolved within six months. The Network Party requested transparency from the DCC’s reporting</w:t>
      </w:r>
      <w:r w:rsidR="00126C8B">
        <w:t xml:space="preserve"> on this issue</w:t>
      </w:r>
      <w:r w:rsidR="00EF4D87">
        <w:t xml:space="preserve"> as this will have a direct impact on Network Party reporting methodology. The DCC agreed and informed the Working Group that the issue is only found in the Central and South regions.</w:t>
      </w:r>
    </w:p>
    <w:p w14:paraId="52E02B80" w14:textId="7CF1C1B6" w:rsidR="00EF4D87" w:rsidRDefault="00EF4D87" w:rsidP="00B265CF"/>
    <w:p w14:paraId="05D6C4D9" w14:textId="618F9C2A" w:rsidR="00EF4D87" w:rsidRDefault="00074807" w:rsidP="00EF4D87">
      <w:pPr>
        <w:pStyle w:val="Subheading"/>
      </w:pPr>
      <w:r>
        <w:t>DCC TOC measurement methodology</w:t>
      </w:r>
    </w:p>
    <w:p w14:paraId="61A158C1" w14:textId="331E216A" w:rsidR="00EF4D87" w:rsidRDefault="00074807" w:rsidP="00B265CF">
      <w:r>
        <w:t xml:space="preserve">The DCC informed the Working Group that they analyse and measure the end-to-end journey of Alerts to work out the median and upper and lower quartiles </w:t>
      </w:r>
      <w:proofErr w:type="gramStart"/>
      <w:r>
        <w:t>in order to</w:t>
      </w:r>
      <w:proofErr w:type="gramEnd"/>
      <w:r>
        <w:t xml:space="preserve"> provide accurate reporting. They emphasised the importance of capturing the data in the winter months as</w:t>
      </w:r>
      <w:r w:rsidR="000B7319">
        <w:t xml:space="preserve"> previous</w:t>
      </w:r>
      <w:r>
        <w:t xml:space="preserve"> data has shown that outages are more frequent and weaker signals are experienced. The DCC advised that this is especially the case in the North region.</w:t>
      </w:r>
    </w:p>
    <w:p w14:paraId="5BF206E4" w14:textId="5F66B29A" w:rsidR="00074807" w:rsidRDefault="00074807" w:rsidP="00B265CF">
      <w:r>
        <w:t>A Working Group member queried the importance of the timely delivery of the Alerts. The Network Parties responded that they must meet their SLAs which in some cases are time-dependent and so any delay</w:t>
      </w:r>
      <w:r w:rsidR="00126C8B">
        <w:t xml:space="preserve"> or apparent delay</w:t>
      </w:r>
      <w:r>
        <w:t xml:space="preserve"> in receiving an Alert has an impact on achieving these SLAs. This </w:t>
      </w:r>
      <w:proofErr w:type="gramStart"/>
      <w:r>
        <w:t>refers back</w:t>
      </w:r>
      <w:proofErr w:type="gramEnd"/>
      <w:r>
        <w:t xml:space="preserve"> to the primary impact of the issue whereby Network Partie</w:t>
      </w:r>
      <w:r w:rsidRPr="00074807">
        <w:t xml:space="preserve">s are not able to deliver the expected benefits and cost efficiencies from smart meter </w:t>
      </w:r>
      <w:r>
        <w:t>POAs</w:t>
      </w:r>
      <w:r w:rsidRPr="00074807">
        <w:t xml:space="preserve"> and P</w:t>
      </w:r>
      <w:r>
        <w:t>RAs.</w:t>
      </w:r>
    </w:p>
    <w:p w14:paraId="7AD77B91" w14:textId="702DDC4F" w:rsidR="00432505" w:rsidRDefault="00432505" w:rsidP="00B265CF"/>
    <w:p w14:paraId="1AB7F27E" w14:textId="099F6F0A" w:rsidR="00DB1328" w:rsidRDefault="00DB1328" w:rsidP="00DB1328">
      <w:pPr>
        <w:pStyle w:val="Subheading"/>
      </w:pPr>
      <w:r>
        <w:t>Benefits to the consumer</w:t>
      </w:r>
    </w:p>
    <w:p w14:paraId="2A69C54D" w14:textId="2362B689" w:rsidR="00DB1328" w:rsidRDefault="00DB1328" w:rsidP="00B265CF">
      <w:r>
        <w:t xml:space="preserve">SECAS asked the Working Group if it felt that MP096 offered any benefits to the consumer. A Network Party stated that </w:t>
      </w:r>
      <w:r w:rsidR="00126C8B">
        <w:t xml:space="preserve">they did not believe </w:t>
      </w:r>
      <w:r>
        <w:t xml:space="preserve">there are </w:t>
      </w:r>
      <w:r w:rsidR="00126C8B">
        <w:t>any</w:t>
      </w:r>
      <w:r>
        <w:t xml:space="preserve"> direct benefits, however better understanding the service that is provided to the consumer results in an indirect benefit. SECAS requested the views of </w:t>
      </w:r>
      <w:r w:rsidR="00126C8B">
        <w:t>other SEC Party Categories</w:t>
      </w:r>
      <w:r>
        <w:t xml:space="preserve">, however they stated that at this time they </w:t>
      </w:r>
      <w:r w:rsidR="00126C8B">
        <w:t xml:space="preserve">did not believe that they </w:t>
      </w:r>
      <w:r>
        <w:t>could see any benefits to the consumer.</w:t>
      </w:r>
    </w:p>
    <w:p w14:paraId="6DEC3B9D" w14:textId="0C68F290" w:rsidR="00DB1328" w:rsidRDefault="00DB1328" w:rsidP="00B265CF"/>
    <w:p w14:paraId="53E587CE" w14:textId="0453B16A" w:rsidR="00A65D4D" w:rsidRDefault="00A65D4D" w:rsidP="00A65D4D">
      <w:pPr>
        <w:pStyle w:val="Subheading"/>
      </w:pPr>
      <w:r>
        <w:t>Network Evolution Programme</w:t>
      </w:r>
    </w:p>
    <w:p w14:paraId="312E2F9E" w14:textId="60D4CF92" w:rsidR="00A65D4D" w:rsidRDefault="00A65D4D" w:rsidP="00B265CF">
      <w:r>
        <w:t xml:space="preserve">The DCC provided an overview of the current scope of the Network Evolution Programme. A Network Party queried the differing information held within the current scope compared to a consultation issued on 6 April 2021. The DCC confirmed that they have included </w:t>
      </w:r>
      <w:r w:rsidR="000B7319">
        <w:t>all</w:t>
      </w:r>
      <w:r>
        <w:t xml:space="preserve"> the requirements </w:t>
      </w:r>
      <w:r w:rsidR="000B7319">
        <w:t>necessary</w:t>
      </w:r>
      <w:r>
        <w:t xml:space="preserve"> to be compliant with the SEC</w:t>
      </w:r>
      <w:r w:rsidR="00126C8B">
        <w:t xml:space="preserve"> specifically around POA/PRAs</w:t>
      </w:r>
      <w:r>
        <w:t>. The DCC reiterated that the starting point for next generation C</w:t>
      </w:r>
      <w:r w:rsidR="00126C8B">
        <w:t xml:space="preserve">ommunications </w:t>
      </w:r>
      <w:r>
        <w:t>H</w:t>
      </w:r>
      <w:r w:rsidR="00126C8B">
        <w:t>ubs</w:t>
      </w:r>
      <w:r>
        <w:t xml:space="preserve"> bidders is to be SEC compliant</w:t>
      </w:r>
      <w:r w:rsidR="00126C8B">
        <w:t xml:space="preserve">. Therefore, </w:t>
      </w:r>
      <w:r>
        <w:t>the DCC agree with the TABASC’s view of retaining an obligation within the legal text for next generation C</w:t>
      </w:r>
      <w:r w:rsidR="00126C8B">
        <w:t xml:space="preserve">ommunications </w:t>
      </w:r>
      <w:r>
        <w:t>H</w:t>
      </w:r>
      <w:r w:rsidR="00126C8B">
        <w:t>ub</w:t>
      </w:r>
      <w:r>
        <w:t xml:space="preserve">s to meet the 60 second requirement. The DCC also advised that research has shown that it takes approximately ten seconds for the Alert to reach </w:t>
      </w:r>
      <w:r w:rsidR="00126C8B">
        <w:t xml:space="preserve">a </w:t>
      </w:r>
      <w:r>
        <w:t>Network Party from the DSP.</w:t>
      </w:r>
    </w:p>
    <w:p w14:paraId="62510234" w14:textId="77777777" w:rsidR="00A65D4D" w:rsidRDefault="00A65D4D" w:rsidP="00B265CF"/>
    <w:p w14:paraId="114C15B4" w14:textId="77777777" w:rsidR="00B265CF" w:rsidRDefault="00B265CF" w:rsidP="00B265CF">
      <w:pPr>
        <w:pStyle w:val="Subheading"/>
      </w:pPr>
      <w:r>
        <w:lastRenderedPageBreak/>
        <w:t xml:space="preserve">Conclusion </w:t>
      </w:r>
    </w:p>
    <w:p w14:paraId="76DF91CF" w14:textId="3808EC18" w:rsidR="00B265CF" w:rsidRDefault="00B265CF" w:rsidP="00B265CF">
      <w:r w:rsidRPr="00B265CF">
        <w:t xml:space="preserve">SECAS stated that the intention is to carry out six months of POA and PRA analysis which will be due for completion in February 2022. SECAS </w:t>
      </w:r>
      <w:r w:rsidR="00126C8B">
        <w:t>indicated its intention</w:t>
      </w:r>
      <w:r w:rsidRPr="00B265CF">
        <w:t xml:space="preserve"> to draft the legal text and issue the Refinement Consultation during this time. The SECAS Technical Operations team advised against drafting the legal text until the data had been finalised and a sub-option has been agreed by the Working Group</w:t>
      </w:r>
      <w:r w:rsidR="007A1311">
        <w:t xml:space="preserve"> as they did not believe this could be done without the specific details</w:t>
      </w:r>
      <w:r w:rsidRPr="00B265CF">
        <w:t>. A Network Party stated that it would be beneficial to hold out until the dataset has been completed. The Proposer agreed with this approach.</w:t>
      </w:r>
    </w:p>
    <w:p w14:paraId="776BDF4E" w14:textId="4A213448" w:rsidR="00490947" w:rsidRDefault="00490947" w:rsidP="00F556BC">
      <w:pPr>
        <w:pStyle w:val="Subtitle"/>
      </w:pPr>
      <w:r>
        <w:t>Next Steps</w:t>
      </w:r>
    </w:p>
    <w:p w14:paraId="0062A635" w14:textId="6CCCE1CD" w:rsidR="00490947" w:rsidRDefault="00490947" w:rsidP="00490947">
      <w:pPr>
        <w:rPr>
          <w:szCs w:val="20"/>
        </w:rPr>
      </w:pPr>
      <w:r>
        <w:rPr>
          <w:szCs w:val="20"/>
        </w:rPr>
        <w:t>The following action</w:t>
      </w:r>
      <w:r w:rsidR="000126A7">
        <w:rPr>
          <w:szCs w:val="20"/>
        </w:rPr>
        <w:t>s</w:t>
      </w:r>
      <w:r>
        <w:rPr>
          <w:szCs w:val="20"/>
        </w:rPr>
        <w:t xml:space="preserve"> </w:t>
      </w:r>
      <w:r w:rsidR="009949FA">
        <w:rPr>
          <w:szCs w:val="20"/>
        </w:rPr>
        <w:t xml:space="preserve">were </w:t>
      </w:r>
      <w:r>
        <w:rPr>
          <w:szCs w:val="20"/>
        </w:rPr>
        <w:t>recorded from the meeting:</w:t>
      </w:r>
    </w:p>
    <w:p w14:paraId="79A55309" w14:textId="7459456F" w:rsidR="000F16D0" w:rsidRDefault="00843EE7" w:rsidP="00E152A7">
      <w:pPr>
        <w:pStyle w:val="ListParagraph"/>
      </w:pPr>
      <w:r>
        <w:t xml:space="preserve">DCC to </w:t>
      </w:r>
      <w:r w:rsidR="00B265CF">
        <w:t>complete the POA/PRA measurement project (due to be completed in February 2022)</w:t>
      </w:r>
      <w:r>
        <w:t>.</w:t>
      </w:r>
    </w:p>
    <w:p w14:paraId="1FC997BB" w14:textId="4956299D" w:rsidR="000B3CC7" w:rsidRDefault="000B3CC7" w:rsidP="00E152A7">
      <w:pPr>
        <w:pStyle w:val="ListParagraph"/>
      </w:pPr>
      <w:r>
        <w:t xml:space="preserve">DCC to update Network Parties with progress </w:t>
      </w:r>
      <w:proofErr w:type="gramStart"/>
      <w:r>
        <w:t>on a monthly basis</w:t>
      </w:r>
      <w:proofErr w:type="gramEnd"/>
      <w:r>
        <w:t>.</w:t>
      </w:r>
    </w:p>
    <w:p w14:paraId="2E4DCF29" w14:textId="175D3F47" w:rsidR="00843EE7" w:rsidRDefault="00B265CF" w:rsidP="00E152A7">
      <w:pPr>
        <w:pStyle w:val="ListParagraph"/>
      </w:pPr>
      <w:r>
        <w:t xml:space="preserve">SECAS will present the </w:t>
      </w:r>
      <w:r w:rsidR="00116EAB">
        <w:t>dataset</w:t>
      </w:r>
      <w:r>
        <w:t xml:space="preserve"> </w:t>
      </w:r>
      <w:r w:rsidR="00116EAB">
        <w:t xml:space="preserve">from the measurement project </w:t>
      </w:r>
      <w:r>
        <w:t>to the Working Group</w:t>
      </w:r>
      <w:r w:rsidR="00843EE7">
        <w:t>.</w:t>
      </w:r>
    </w:p>
    <w:p w14:paraId="3B3B2689" w14:textId="7812330F" w:rsidR="00843EE7" w:rsidRDefault="00B265CF" w:rsidP="00E152A7">
      <w:pPr>
        <w:pStyle w:val="ListParagraph"/>
      </w:pPr>
      <w:r>
        <w:t xml:space="preserve">SECAS to work with the DCC to </w:t>
      </w:r>
      <w:r w:rsidR="007A1311">
        <w:t xml:space="preserve">identify any benefits of </w:t>
      </w:r>
      <w:r>
        <w:t>draft</w:t>
      </w:r>
      <w:r w:rsidR="007A1311">
        <w:t>ing</w:t>
      </w:r>
      <w:r>
        <w:t xml:space="preserve"> the </w:t>
      </w:r>
      <w:r w:rsidR="007A1311">
        <w:t xml:space="preserve">basic </w:t>
      </w:r>
      <w:r>
        <w:t>MP096 legal text.</w:t>
      </w:r>
    </w:p>
    <w:p w14:paraId="21929350" w14:textId="57EC9B14" w:rsidR="00864CF8" w:rsidRDefault="00864CF8" w:rsidP="00E152A7">
      <w:pPr>
        <w:pStyle w:val="ListParagraph"/>
      </w:pPr>
      <w:r>
        <w:t xml:space="preserve">SECAS to </w:t>
      </w:r>
      <w:r w:rsidR="00B265CF">
        <w:t>issue the Refinement Consultation</w:t>
      </w:r>
      <w:r w:rsidR="00116EAB">
        <w:t xml:space="preserve"> following the completion of the measurement project</w:t>
      </w:r>
      <w:r w:rsidR="009A07BC">
        <w:t>.</w:t>
      </w:r>
    </w:p>
    <w:p w14:paraId="2CC8AD46" w14:textId="21217E2E" w:rsidR="00843EE7" w:rsidRPr="003423F3" w:rsidRDefault="00843EE7" w:rsidP="00B265CF">
      <w:pPr>
        <w:pStyle w:val="ListParagraph"/>
        <w:numPr>
          <w:ilvl w:val="0"/>
          <w:numId w:val="0"/>
        </w:numPr>
        <w:ind w:left="720"/>
      </w:pPr>
    </w:p>
    <w:sectPr w:rsidR="00843EE7" w:rsidRPr="003423F3" w:rsidSect="00633F6B">
      <w:headerReference w:type="default" r:id="rId9"/>
      <w:footerReference w:type="default" r:id="rId10"/>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7DA1B" w14:textId="77777777" w:rsidR="00FB6C52" w:rsidRDefault="00FB6C52" w:rsidP="004F458B">
      <w:pPr>
        <w:spacing w:after="0" w:line="240" w:lineRule="auto"/>
      </w:pPr>
      <w:r>
        <w:separator/>
      </w:r>
    </w:p>
  </w:endnote>
  <w:endnote w:type="continuationSeparator" w:id="0">
    <w:p w14:paraId="7207AE99" w14:textId="77777777" w:rsidR="00FB6C52" w:rsidRDefault="00FB6C52" w:rsidP="004F4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5"/>
      <w:gridCol w:w="3034"/>
      <w:gridCol w:w="2997"/>
    </w:tblGrid>
    <w:tr w:rsidR="00800AF2" w:rsidRPr="00633F6B" w14:paraId="28F8F56D" w14:textId="77777777" w:rsidTr="00481DA5">
      <w:trPr>
        <w:trHeight w:val="77"/>
      </w:trPr>
      <w:tc>
        <w:tcPr>
          <w:tcW w:w="2995" w:type="dxa"/>
        </w:tcPr>
        <w:p w14:paraId="2C947513" w14:textId="77777777" w:rsidR="00800AF2" w:rsidRPr="00633F6B" w:rsidRDefault="00800AF2" w:rsidP="000D492D">
          <w:pPr>
            <w:pStyle w:val="Footer"/>
            <w:rPr>
              <w:rFonts w:cs="Arial"/>
              <w:color w:val="595959" w:themeColor="text1" w:themeTint="A6"/>
              <w:sz w:val="16"/>
              <w:szCs w:val="16"/>
            </w:rPr>
          </w:pPr>
        </w:p>
      </w:tc>
      <w:tc>
        <w:tcPr>
          <w:tcW w:w="3034" w:type="dxa"/>
          <w:vMerge w:val="restart"/>
          <w:vAlign w:val="center"/>
        </w:tcPr>
        <w:p w14:paraId="565C2727" w14:textId="77777777" w:rsidR="00800AF2" w:rsidRPr="00633F6B" w:rsidRDefault="00B13710" w:rsidP="00B13710">
          <w:pPr>
            <w:pStyle w:val="Footer"/>
            <w:jc w:val="center"/>
            <w:rPr>
              <w:rFonts w:cs="Arial"/>
              <w:color w:val="595959" w:themeColor="text1" w:themeTint="A6"/>
              <w:sz w:val="16"/>
              <w:szCs w:val="16"/>
            </w:rPr>
          </w:pPr>
          <w:r>
            <w:rPr>
              <w:noProof/>
            </w:rPr>
            <w:drawing>
              <wp:inline distT="0" distB="0" distL="0" distR="0" wp14:anchorId="7B478782" wp14:editId="022673ED">
                <wp:extent cx="1170579" cy="680400"/>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579" cy="680400"/>
                        </a:xfrm>
                        <a:prstGeom prst="rect">
                          <a:avLst/>
                        </a:prstGeom>
                        <a:noFill/>
                        <a:ln>
                          <a:noFill/>
                        </a:ln>
                      </pic:spPr>
                    </pic:pic>
                  </a:graphicData>
                </a:graphic>
              </wp:inline>
            </w:drawing>
          </w:r>
        </w:p>
      </w:tc>
      <w:tc>
        <w:tcPr>
          <w:tcW w:w="2997" w:type="dxa"/>
        </w:tcPr>
        <w:p w14:paraId="2856E76C" w14:textId="77777777" w:rsidR="00800AF2" w:rsidRPr="00633F6B" w:rsidRDefault="00800AF2" w:rsidP="00633F6B">
          <w:pPr>
            <w:pStyle w:val="Footer"/>
            <w:jc w:val="right"/>
            <w:rPr>
              <w:rFonts w:cs="Arial"/>
              <w:color w:val="595959" w:themeColor="text1" w:themeTint="A6"/>
              <w:sz w:val="16"/>
              <w:szCs w:val="16"/>
            </w:rPr>
          </w:pPr>
        </w:p>
      </w:tc>
    </w:tr>
    <w:tr w:rsidR="00800AF2" w:rsidRPr="00633F6B" w14:paraId="0F18E0D4" w14:textId="77777777" w:rsidTr="00800AF2">
      <w:trPr>
        <w:trHeight w:val="540"/>
      </w:trPr>
      <w:tc>
        <w:tcPr>
          <w:tcW w:w="2995" w:type="dxa"/>
        </w:tcPr>
        <w:p w14:paraId="71EC0C3E" w14:textId="794738EA" w:rsidR="00800AF2" w:rsidRDefault="00800AF2" w:rsidP="000D492D">
          <w:pPr>
            <w:pStyle w:val="Footer"/>
            <w:rPr>
              <w:rFonts w:cs="Arial"/>
              <w:color w:val="595959" w:themeColor="text1" w:themeTint="A6"/>
              <w:sz w:val="16"/>
              <w:szCs w:val="16"/>
            </w:rPr>
          </w:pPr>
          <w:r>
            <w:rPr>
              <w:rFonts w:cs="Arial"/>
              <w:color w:val="595959" w:themeColor="text1" w:themeTint="A6"/>
              <w:sz w:val="16"/>
              <w:szCs w:val="16"/>
            </w:rPr>
            <w:t>MP</w:t>
          </w:r>
          <w:r w:rsidR="00173D84">
            <w:rPr>
              <w:rFonts w:cs="Arial"/>
              <w:color w:val="595959" w:themeColor="text1" w:themeTint="A6"/>
              <w:sz w:val="16"/>
              <w:szCs w:val="16"/>
            </w:rPr>
            <w:t>096</w:t>
          </w:r>
          <w:r>
            <w:rPr>
              <w:rFonts w:cs="Arial"/>
              <w:color w:val="595959" w:themeColor="text1" w:themeTint="A6"/>
              <w:sz w:val="16"/>
              <w:szCs w:val="16"/>
            </w:rPr>
            <w:t xml:space="preserve"> </w:t>
          </w:r>
          <w:r w:rsidR="00B13710">
            <w:rPr>
              <w:rFonts w:cs="Arial"/>
              <w:color w:val="595959" w:themeColor="text1" w:themeTint="A6"/>
              <w:sz w:val="16"/>
              <w:szCs w:val="16"/>
            </w:rPr>
            <w:t xml:space="preserve">– </w:t>
          </w:r>
          <w:r w:rsidR="00EB60E7">
            <w:rPr>
              <w:rFonts w:cs="Arial"/>
              <w:color w:val="595959" w:themeColor="text1" w:themeTint="A6"/>
              <w:sz w:val="16"/>
              <w:szCs w:val="16"/>
            </w:rPr>
            <w:t>September</w:t>
          </w:r>
          <w:r w:rsidR="003B12CA">
            <w:rPr>
              <w:rFonts w:cs="Arial"/>
              <w:color w:val="595959" w:themeColor="text1" w:themeTint="A6"/>
              <w:sz w:val="16"/>
              <w:szCs w:val="16"/>
            </w:rPr>
            <w:t xml:space="preserve"> 2021</w:t>
          </w:r>
          <w:r w:rsidR="00F8182D">
            <w:rPr>
              <w:rFonts w:cs="Arial"/>
              <w:color w:val="595959" w:themeColor="text1" w:themeTint="A6"/>
              <w:sz w:val="16"/>
              <w:szCs w:val="16"/>
            </w:rPr>
            <w:t xml:space="preserve"> </w:t>
          </w:r>
          <w:r>
            <w:rPr>
              <w:rFonts w:cs="Arial"/>
              <w:color w:val="595959" w:themeColor="text1" w:themeTint="A6"/>
              <w:sz w:val="16"/>
              <w:szCs w:val="16"/>
            </w:rPr>
            <w:t xml:space="preserve">Working Group </w:t>
          </w:r>
          <w:r w:rsidR="00B13710">
            <w:rPr>
              <w:rFonts w:cs="Arial"/>
              <w:color w:val="595959" w:themeColor="text1" w:themeTint="A6"/>
              <w:sz w:val="16"/>
              <w:szCs w:val="16"/>
            </w:rPr>
            <w:t>m</w:t>
          </w:r>
          <w:r>
            <w:rPr>
              <w:rFonts w:cs="Arial"/>
              <w:color w:val="595959" w:themeColor="text1" w:themeTint="A6"/>
              <w:sz w:val="16"/>
              <w:szCs w:val="16"/>
            </w:rPr>
            <w:t xml:space="preserve">eeting </w:t>
          </w:r>
          <w:r w:rsidR="00B13710">
            <w:rPr>
              <w:rFonts w:cs="Arial"/>
              <w:color w:val="595959" w:themeColor="text1" w:themeTint="A6"/>
              <w:sz w:val="16"/>
              <w:szCs w:val="16"/>
            </w:rPr>
            <w:t>s</w:t>
          </w:r>
          <w:r>
            <w:rPr>
              <w:rFonts w:cs="Arial"/>
              <w:color w:val="595959" w:themeColor="text1" w:themeTint="A6"/>
              <w:sz w:val="16"/>
              <w:szCs w:val="16"/>
            </w:rPr>
            <w:t>ummary</w:t>
          </w:r>
        </w:p>
      </w:tc>
      <w:tc>
        <w:tcPr>
          <w:tcW w:w="3034" w:type="dxa"/>
          <w:vMerge/>
        </w:tcPr>
        <w:p w14:paraId="079EA8D4" w14:textId="77777777" w:rsidR="00800AF2" w:rsidRDefault="00800AF2" w:rsidP="00633F6B">
          <w:pPr>
            <w:pStyle w:val="Footer"/>
            <w:jc w:val="center"/>
            <w:rPr>
              <w:noProof/>
              <w:lang w:eastAsia="en-GB"/>
            </w:rPr>
          </w:pPr>
        </w:p>
      </w:tc>
      <w:tc>
        <w:tcPr>
          <w:tcW w:w="2997" w:type="dxa"/>
        </w:tcPr>
        <w:p w14:paraId="6CBF7BB2" w14:textId="77777777" w:rsidR="00800AF2" w:rsidRDefault="00800AF2" w:rsidP="00800AF2">
          <w:pPr>
            <w:pStyle w:val="Footer"/>
            <w:jc w:val="right"/>
            <w:rPr>
              <w:rFonts w:cs="Arial"/>
              <w:color w:val="595959" w:themeColor="text1" w:themeTint="A6"/>
              <w:sz w:val="16"/>
              <w:szCs w:val="16"/>
            </w:rPr>
          </w:pPr>
          <w:r w:rsidRPr="00633F6B">
            <w:rPr>
              <w:rFonts w:cs="Arial"/>
              <w:color w:val="595959" w:themeColor="text1" w:themeTint="A6"/>
              <w:sz w:val="16"/>
              <w:szCs w:val="16"/>
            </w:rPr>
            <w:t xml:space="preserve">Page </w:t>
          </w:r>
          <w:r w:rsidRPr="00633F6B">
            <w:rPr>
              <w:rFonts w:cs="Arial"/>
              <w:color w:val="595959" w:themeColor="text1" w:themeTint="A6"/>
              <w:sz w:val="16"/>
              <w:szCs w:val="16"/>
            </w:rPr>
            <w:fldChar w:fldCharType="begin"/>
          </w:r>
          <w:r w:rsidRPr="00633F6B">
            <w:rPr>
              <w:rFonts w:cs="Arial"/>
              <w:color w:val="595959" w:themeColor="text1" w:themeTint="A6"/>
              <w:sz w:val="16"/>
              <w:szCs w:val="16"/>
            </w:rPr>
            <w:instrText xml:space="preserve"> PAGE </w:instrText>
          </w:r>
          <w:r w:rsidRPr="00633F6B">
            <w:rPr>
              <w:rFonts w:cs="Arial"/>
              <w:color w:val="595959" w:themeColor="text1" w:themeTint="A6"/>
              <w:sz w:val="16"/>
              <w:szCs w:val="16"/>
            </w:rPr>
            <w:fldChar w:fldCharType="separate"/>
          </w:r>
          <w:r>
            <w:rPr>
              <w:rFonts w:cs="Arial"/>
              <w:color w:val="595959" w:themeColor="text1" w:themeTint="A6"/>
              <w:sz w:val="16"/>
              <w:szCs w:val="16"/>
            </w:rPr>
            <w:t>1</w:t>
          </w:r>
          <w:r w:rsidRPr="00633F6B">
            <w:rPr>
              <w:rFonts w:cs="Arial"/>
              <w:color w:val="595959" w:themeColor="text1" w:themeTint="A6"/>
              <w:sz w:val="16"/>
              <w:szCs w:val="16"/>
            </w:rPr>
            <w:fldChar w:fldCharType="end"/>
          </w:r>
          <w:r w:rsidRPr="00633F6B">
            <w:rPr>
              <w:rFonts w:cs="Arial"/>
              <w:color w:val="595959" w:themeColor="text1" w:themeTint="A6"/>
              <w:sz w:val="16"/>
              <w:szCs w:val="16"/>
            </w:rPr>
            <w:t xml:space="preserve"> of </w:t>
          </w:r>
          <w:r w:rsidRPr="00633F6B">
            <w:rPr>
              <w:rFonts w:cs="Arial"/>
              <w:color w:val="595959" w:themeColor="text1" w:themeTint="A6"/>
              <w:sz w:val="16"/>
              <w:szCs w:val="16"/>
            </w:rPr>
            <w:fldChar w:fldCharType="begin"/>
          </w:r>
          <w:r w:rsidRPr="00633F6B">
            <w:rPr>
              <w:rFonts w:cs="Arial"/>
              <w:color w:val="595959" w:themeColor="text1" w:themeTint="A6"/>
              <w:sz w:val="16"/>
              <w:szCs w:val="16"/>
            </w:rPr>
            <w:instrText xml:space="preserve"> NUMPAGES  </w:instrText>
          </w:r>
          <w:r w:rsidRPr="00633F6B">
            <w:rPr>
              <w:rFonts w:cs="Arial"/>
              <w:color w:val="595959" w:themeColor="text1" w:themeTint="A6"/>
              <w:sz w:val="16"/>
              <w:szCs w:val="16"/>
            </w:rPr>
            <w:fldChar w:fldCharType="separate"/>
          </w:r>
          <w:r>
            <w:rPr>
              <w:rFonts w:cs="Arial"/>
              <w:color w:val="595959" w:themeColor="text1" w:themeTint="A6"/>
              <w:sz w:val="16"/>
              <w:szCs w:val="16"/>
            </w:rPr>
            <w:t>1</w:t>
          </w:r>
          <w:r w:rsidRPr="00633F6B">
            <w:rPr>
              <w:rFonts w:cs="Arial"/>
              <w:color w:val="595959" w:themeColor="text1" w:themeTint="A6"/>
              <w:sz w:val="16"/>
              <w:szCs w:val="16"/>
            </w:rPr>
            <w:fldChar w:fldCharType="end"/>
          </w:r>
        </w:p>
        <w:p w14:paraId="08F93BBA" w14:textId="77777777" w:rsidR="00800AF2" w:rsidRDefault="00800AF2" w:rsidP="00800AF2">
          <w:pPr>
            <w:pStyle w:val="Footer"/>
            <w:jc w:val="right"/>
            <w:rPr>
              <w:rFonts w:cs="Arial"/>
              <w:color w:val="595959" w:themeColor="text1" w:themeTint="A6"/>
              <w:sz w:val="16"/>
              <w:szCs w:val="16"/>
            </w:rPr>
          </w:pPr>
        </w:p>
        <w:p w14:paraId="5C74FCF3" w14:textId="77777777" w:rsidR="00800AF2" w:rsidRPr="00633F6B" w:rsidRDefault="00800AF2" w:rsidP="00800AF2">
          <w:pPr>
            <w:pStyle w:val="Footer"/>
            <w:jc w:val="right"/>
            <w:rPr>
              <w:rFonts w:cs="Arial"/>
              <w:color w:val="595959" w:themeColor="text1" w:themeTint="A6"/>
              <w:sz w:val="16"/>
              <w:szCs w:val="16"/>
            </w:rPr>
          </w:pPr>
          <w:r>
            <w:rPr>
              <w:rFonts w:cs="Arial"/>
              <w:b/>
              <w:color w:val="595959" w:themeColor="text1" w:themeTint="A6"/>
              <w:sz w:val="16"/>
              <w:szCs w:val="16"/>
            </w:rPr>
            <w:t xml:space="preserve">This document has a Classification of </w:t>
          </w:r>
          <w:r w:rsidRPr="003423F3">
            <w:rPr>
              <w:rFonts w:cs="Arial"/>
              <w:b/>
              <w:color w:val="auto"/>
              <w:sz w:val="16"/>
              <w:szCs w:val="16"/>
            </w:rPr>
            <w:t>White</w:t>
          </w:r>
        </w:p>
      </w:tc>
    </w:tr>
  </w:tbl>
  <w:p w14:paraId="4875E3BB" w14:textId="77777777" w:rsidR="00DB0807" w:rsidRPr="00633F6B" w:rsidRDefault="00DB0807" w:rsidP="00633F6B">
    <w:pPr>
      <w:pStyle w:val="Footer"/>
      <w:spacing w:after="120"/>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B9A83" w14:textId="77777777" w:rsidR="00FB6C52" w:rsidRDefault="00FB6C52" w:rsidP="004F458B">
      <w:pPr>
        <w:spacing w:after="0" w:line="240" w:lineRule="auto"/>
      </w:pPr>
      <w:r>
        <w:separator/>
      </w:r>
    </w:p>
  </w:footnote>
  <w:footnote w:type="continuationSeparator" w:id="0">
    <w:p w14:paraId="072ADF65" w14:textId="77777777" w:rsidR="00FB6C52" w:rsidRDefault="00FB6C52" w:rsidP="004F45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39519" w14:textId="77777777" w:rsidR="003E558E" w:rsidRDefault="003E558E" w:rsidP="003E558E">
    <w:pPr>
      <w:pStyle w:val="Header"/>
      <w:jc w:val="right"/>
    </w:pPr>
    <w:r w:rsidRPr="003E558E">
      <w:rPr>
        <w:noProof/>
        <w:lang w:eastAsia="en-GB"/>
      </w:rPr>
      <w:drawing>
        <wp:inline distT="0" distB="0" distL="0" distR="0" wp14:anchorId="182DE48E" wp14:editId="33A5D0C9">
          <wp:extent cx="1457325" cy="1047750"/>
          <wp:effectExtent l="19050" t="0" r="9525" b="0"/>
          <wp:docPr id="4" name="Picture 4" descr="C:\Users\catherine.cousins\AppData\Local\Microsoft\Windows\Temporary Internet Files\Content.Outlook\5NC1S6OP\SEC-Logo-without-diamon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therine.cousins\AppData\Local\Microsoft\Windows\Temporary Internet Files\Content.Outlook\5NC1S6OP\SEC-Logo-without-diamonds.jpg"/>
                  <pic:cNvPicPr>
                    <a:picLocks noChangeAspect="1" noChangeArrowheads="1"/>
                  </pic:cNvPicPr>
                </pic:nvPicPr>
                <pic:blipFill>
                  <a:blip r:embed="rId1"/>
                  <a:srcRect/>
                  <a:stretch>
                    <a:fillRect/>
                  </a:stretch>
                </pic:blipFill>
                <pic:spPr bwMode="auto">
                  <a:xfrm>
                    <a:off x="0" y="0"/>
                    <a:ext cx="1457325" cy="10477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11FE8"/>
    <w:multiLevelType w:val="multilevel"/>
    <w:tmpl w:val="82382EC6"/>
    <w:styleLink w:val="Subtitles"/>
    <w:lvl w:ilvl="0">
      <w:start w:val="1"/>
      <w:numFmt w:val="decimal"/>
      <w:lvlText w:val="%1."/>
      <w:lvlJc w:val="left"/>
      <w:pPr>
        <w:ind w:left="360" w:hanging="360"/>
      </w:pPr>
      <w:rPr>
        <w:rFonts w:hint="default"/>
        <w:b/>
        <w:bCs w:val="0"/>
        <w:i w:val="0"/>
        <w:iCs w:val="0"/>
        <w:caps w:val="0"/>
        <w:smallCaps w:val="0"/>
        <w:strike w:val="0"/>
        <w:dstrike w:val="0"/>
        <w:vanish w:val="0"/>
        <w:kern w:val="0"/>
        <w:position w:val="0"/>
        <w:sz w:val="24"/>
        <w:u w:val="none"/>
        <w:vertAlign w:val="baseline"/>
        <w:em w:val="none"/>
      </w:rPr>
    </w:lvl>
    <w:lvl w:ilvl="1">
      <w:start w:val="1"/>
      <w:numFmt w:val="decimal"/>
      <w:lvlText w:val="%2.%1"/>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D61751B"/>
    <w:multiLevelType w:val="hybridMultilevel"/>
    <w:tmpl w:val="D676EAF2"/>
    <w:lvl w:ilvl="0" w:tplc="101C79B2">
      <w:start w:val="1"/>
      <w:numFmt w:val="decimal"/>
      <w:pStyle w:val="Heading2"/>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020731"/>
    <w:multiLevelType w:val="hybridMultilevel"/>
    <w:tmpl w:val="735AA702"/>
    <w:lvl w:ilvl="0" w:tplc="16BA518A">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972FEA"/>
    <w:multiLevelType w:val="hybridMultilevel"/>
    <w:tmpl w:val="CDA026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D64DFF"/>
    <w:multiLevelType w:val="hybridMultilevel"/>
    <w:tmpl w:val="EF68074A"/>
    <w:lvl w:ilvl="0" w:tplc="42529A78">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A835BD"/>
    <w:multiLevelType w:val="hybridMultilevel"/>
    <w:tmpl w:val="B3DC78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E207FD"/>
    <w:multiLevelType w:val="hybridMultilevel"/>
    <w:tmpl w:val="357662E6"/>
    <w:lvl w:ilvl="0" w:tplc="8E780978">
      <w:start w:val="1"/>
      <w:numFmt w:val="bullet"/>
      <w:lvlText w:val="•"/>
      <w:lvlJc w:val="left"/>
      <w:pPr>
        <w:tabs>
          <w:tab w:val="num" w:pos="720"/>
        </w:tabs>
        <w:ind w:left="720" w:hanging="360"/>
      </w:pPr>
      <w:rPr>
        <w:rFonts w:ascii="Arial" w:hAnsi="Arial" w:hint="default"/>
      </w:rPr>
    </w:lvl>
    <w:lvl w:ilvl="1" w:tplc="AD4A6796" w:tentative="1">
      <w:start w:val="1"/>
      <w:numFmt w:val="bullet"/>
      <w:lvlText w:val="•"/>
      <w:lvlJc w:val="left"/>
      <w:pPr>
        <w:tabs>
          <w:tab w:val="num" w:pos="1440"/>
        </w:tabs>
        <w:ind w:left="1440" w:hanging="360"/>
      </w:pPr>
      <w:rPr>
        <w:rFonts w:ascii="Arial" w:hAnsi="Arial" w:hint="default"/>
      </w:rPr>
    </w:lvl>
    <w:lvl w:ilvl="2" w:tplc="4C106EC0" w:tentative="1">
      <w:start w:val="1"/>
      <w:numFmt w:val="bullet"/>
      <w:lvlText w:val="•"/>
      <w:lvlJc w:val="left"/>
      <w:pPr>
        <w:tabs>
          <w:tab w:val="num" w:pos="2160"/>
        </w:tabs>
        <w:ind w:left="2160" w:hanging="360"/>
      </w:pPr>
      <w:rPr>
        <w:rFonts w:ascii="Arial" w:hAnsi="Arial" w:hint="default"/>
      </w:rPr>
    </w:lvl>
    <w:lvl w:ilvl="3" w:tplc="2F8EBDD8" w:tentative="1">
      <w:start w:val="1"/>
      <w:numFmt w:val="bullet"/>
      <w:lvlText w:val="•"/>
      <w:lvlJc w:val="left"/>
      <w:pPr>
        <w:tabs>
          <w:tab w:val="num" w:pos="2880"/>
        </w:tabs>
        <w:ind w:left="2880" w:hanging="360"/>
      </w:pPr>
      <w:rPr>
        <w:rFonts w:ascii="Arial" w:hAnsi="Arial" w:hint="default"/>
      </w:rPr>
    </w:lvl>
    <w:lvl w:ilvl="4" w:tplc="85601982" w:tentative="1">
      <w:start w:val="1"/>
      <w:numFmt w:val="bullet"/>
      <w:lvlText w:val="•"/>
      <w:lvlJc w:val="left"/>
      <w:pPr>
        <w:tabs>
          <w:tab w:val="num" w:pos="3600"/>
        </w:tabs>
        <w:ind w:left="3600" w:hanging="360"/>
      </w:pPr>
      <w:rPr>
        <w:rFonts w:ascii="Arial" w:hAnsi="Arial" w:hint="default"/>
      </w:rPr>
    </w:lvl>
    <w:lvl w:ilvl="5" w:tplc="0CF457F2" w:tentative="1">
      <w:start w:val="1"/>
      <w:numFmt w:val="bullet"/>
      <w:lvlText w:val="•"/>
      <w:lvlJc w:val="left"/>
      <w:pPr>
        <w:tabs>
          <w:tab w:val="num" w:pos="4320"/>
        </w:tabs>
        <w:ind w:left="4320" w:hanging="360"/>
      </w:pPr>
      <w:rPr>
        <w:rFonts w:ascii="Arial" w:hAnsi="Arial" w:hint="default"/>
      </w:rPr>
    </w:lvl>
    <w:lvl w:ilvl="6" w:tplc="6EA40810" w:tentative="1">
      <w:start w:val="1"/>
      <w:numFmt w:val="bullet"/>
      <w:lvlText w:val="•"/>
      <w:lvlJc w:val="left"/>
      <w:pPr>
        <w:tabs>
          <w:tab w:val="num" w:pos="5040"/>
        </w:tabs>
        <w:ind w:left="5040" w:hanging="360"/>
      </w:pPr>
      <w:rPr>
        <w:rFonts w:ascii="Arial" w:hAnsi="Arial" w:hint="default"/>
      </w:rPr>
    </w:lvl>
    <w:lvl w:ilvl="7" w:tplc="C65E7F02" w:tentative="1">
      <w:start w:val="1"/>
      <w:numFmt w:val="bullet"/>
      <w:lvlText w:val="•"/>
      <w:lvlJc w:val="left"/>
      <w:pPr>
        <w:tabs>
          <w:tab w:val="num" w:pos="5760"/>
        </w:tabs>
        <w:ind w:left="5760" w:hanging="360"/>
      </w:pPr>
      <w:rPr>
        <w:rFonts w:ascii="Arial" w:hAnsi="Arial" w:hint="default"/>
      </w:rPr>
    </w:lvl>
    <w:lvl w:ilvl="8" w:tplc="F288E38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1F02984"/>
    <w:multiLevelType w:val="multilevel"/>
    <w:tmpl w:val="CCAEB4D6"/>
    <w:styleLink w:val="SECPanelPaperHeadings"/>
    <w:lvl w:ilvl="0">
      <w:start w:val="1"/>
      <w:numFmt w:val="decimal"/>
      <w:lvlText w:val="%1."/>
      <w:lvlJc w:val="left"/>
      <w:pPr>
        <w:ind w:left="709" w:hanging="709"/>
      </w:pPr>
      <w:rPr>
        <w:rFonts w:ascii="Arial" w:hAnsi="Arial" w:hint="default"/>
        <w:b/>
        <w:bCs w:val="0"/>
        <w:i w:val="0"/>
        <w:iCs w:val="0"/>
        <w:caps w:val="0"/>
        <w:smallCaps w:val="0"/>
        <w:strike w:val="0"/>
        <w:dstrike w:val="0"/>
        <w:vanish w:val="0"/>
        <w:kern w:val="0"/>
        <w:position w:val="0"/>
        <w:sz w:val="24"/>
        <w:u w:val="none"/>
        <w:vertAlign w:val="baseline"/>
        <w:em w:val="none"/>
      </w:rPr>
    </w:lvl>
    <w:lvl w:ilvl="1">
      <w:start w:val="1"/>
      <w:numFmt w:val="decimal"/>
      <w:isLgl/>
      <w:lvlText w:val="%1.%2"/>
      <w:lvlJc w:val="left"/>
      <w:pPr>
        <w:ind w:left="709" w:hanging="709"/>
      </w:pPr>
      <w:rPr>
        <w:rFonts w:ascii="Arial" w:hAnsi="Arial" w:hint="default"/>
        <w:b/>
        <w:sz w:val="20"/>
      </w:rPr>
    </w:lvl>
    <w:lvl w:ilvl="2">
      <w:start w:val="1"/>
      <w:numFmt w:val="decimal"/>
      <w:isLgl/>
      <w:lvlText w:val="%1.%2.%3"/>
      <w:lvlJc w:val="left"/>
      <w:pPr>
        <w:ind w:left="709" w:hanging="709"/>
      </w:pPr>
      <w:rPr>
        <w:rFonts w:hint="default"/>
      </w:rPr>
    </w:lvl>
    <w:lvl w:ilvl="3">
      <w:start w:val="1"/>
      <w:numFmt w:val="decimal"/>
      <w:isLgl/>
      <w:lvlText w:val="%1.%2.%3.%4"/>
      <w:lvlJc w:val="left"/>
      <w:pPr>
        <w:ind w:left="709" w:hanging="709"/>
      </w:pPr>
      <w:rPr>
        <w:rFonts w:hint="default"/>
      </w:rPr>
    </w:lvl>
    <w:lvl w:ilvl="4">
      <w:start w:val="1"/>
      <w:numFmt w:val="decimal"/>
      <w:isLgl/>
      <w:lvlText w:val="%1.%2.%3.%4.%5"/>
      <w:lvlJc w:val="left"/>
      <w:pPr>
        <w:ind w:left="709" w:hanging="709"/>
      </w:pPr>
      <w:rPr>
        <w:rFonts w:hint="default"/>
      </w:rPr>
    </w:lvl>
    <w:lvl w:ilvl="5">
      <w:start w:val="1"/>
      <w:numFmt w:val="decimal"/>
      <w:isLgl/>
      <w:lvlText w:val="%1.%2.%3.%4.%5.%6"/>
      <w:lvlJc w:val="left"/>
      <w:pPr>
        <w:ind w:left="709" w:hanging="709"/>
      </w:pPr>
      <w:rPr>
        <w:rFonts w:hint="default"/>
      </w:rPr>
    </w:lvl>
    <w:lvl w:ilvl="6">
      <w:start w:val="1"/>
      <w:numFmt w:val="decimal"/>
      <w:isLgl/>
      <w:lvlText w:val="%1.%2.%3.%4.%5.%6.%7"/>
      <w:lvlJc w:val="left"/>
      <w:pPr>
        <w:ind w:left="709" w:hanging="709"/>
      </w:pPr>
      <w:rPr>
        <w:rFonts w:hint="default"/>
      </w:rPr>
    </w:lvl>
    <w:lvl w:ilvl="7">
      <w:start w:val="1"/>
      <w:numFmt w:val="decimal"/>
      <w:isLgl/>
      <w:lvlText w:val="%1.%2.%3.%4.%5.%6.%7.%8"/>
      <w:lvlJc w:val="left"/>
      <w:pPr>
        <w:ind w:left="709" w:hanging="709"/>
      </w:pPr>
      <w:rPr>
        <w:rFonts w:hint="default"/>
      </w:rPr>
    </w:lvl>
    <w:lvl w:ilvl="8">
      <w:start w:val="1"/>
      <w:numFmt w:val="decimal"/>
      <w:isLgl/>
      <w:lvlText w:val="%1.%2.%3.%4.%5.%6.%7.%8.%9"/>
      <w:lvlJc w:val="left"/>
      <w:pPr>
        <w:ind w:left="709" w:hanging="709"/>
      </w:pPr>
      <w:rPr>
        <w:rFonts w:hint="default"/>
      </w:rPr>
    </w:lvl>
  </w:abstractNum>
  <w:abstractNum w:abstractNumId="8" w15:restartNumberingAfterBreak="0">
    <w:nsid w:val="60B308D3"/>
    <w:multiLevelType w:val="hybridMultilevel"/>
    <w:tmpl w:val="5E14A98E"/>
    <w:lvl w:ilvl="0" w:tplc="3D4867AE">
      <w:start w:val="1"/>
      <w:numFmt w:val="bullet"/>
      <w:lvlText w:val="•"/>
      <w:lvlJc w:val="left"/>
      <w:pPr>
        <w:tabs>
          <w:tab w:val="num" w:pos="720"/>
        </w:tabs>
        <w:ind w:left="720" w:hanging="360"/>
      </w:pPr>
      <w:rPr>
        <w:rFonts w:ascii="Arial" w:hAnsi="Arial" w:hint="default"/>
      </w:rPr>
    </w:lvl>
    <w:lvl w:ilvl="1" w:tplc="0FC09D22" w:tentative="1">
      <w:start w:val="1"/>
      <w:numFmt w:val="bullet"/>
      <w:lvlText w:val="•"/>
      <w:lvlJc w:val="left"/>
      <w:pPr>
        <w:tabs>
          <w:tab w:val="num" w:pos="1440"/>
        </w:tabs>
        <w:ind w:left="1440" w:hanging="360"/>
      </w:pPr>
      <w:rPr>
        <w:rFonts w:ascii="Arial" w:hAnsi="Arial" w:hint="default"/>
      </w:rPr>
    </w:lvl>
    <w:lvl w:ilvl="2" w:tplc="9C4ECD54" w:tentative="1">
      <w:start w:val="1"/>
      <w:numFmt w:val="bullet"/>
      <w:lvlText w:val="•"/>
      <w:lvlJc w:val="left"/>
      <w:pPr>
        <w:tabs>
          <w:tab w:val="num" w:pos="2160"/>
        </w:tabs>
        <w:ind w:left="2160" w:hanging="360"/>
      </w:pPr>
      <w:rPr>
        <w:rFonts w:ascii="Arial" w:hAnsi="Arial" w:hint="default"/>
      </w:rPr>
    </w:lvl>
    <w:lvl w:ilvl="3" w:tplc="A2ECCAC0" w:tentative="1">
      <w:start w:val="1"/>
      <w:numFmt w:val="bullet"/>
      <w:lvlText w:val="•"/>
      <w:lvlJc w:val="left"/>
      <w:pPr>
        <w:tabs>
          <w:tab w:val="num" w:pos="2880"/>
        </w:tabs>
        <w:ind w:left="2880" w:hanging="360"/>
      </w:pPr>
      <w:rPr>
        <w:rFonts w:ascii="Arial" w:hAnsi="Arial" w:hint="default"/>
      </w:rPr>
    </w:lvl>
    <w:lvl w:ilvl="4" w:tplc="9DF41570" w:tentative="1">
      <w:start w:val="1"/>
      <w:numFmt w:val="bullet"/>
      <w:lvlText w:val="•"/>
      <w:lvlJc w:val="left"/>
      <w:pPr>
        <w:tabs>
          <w:tab w:val="num" w:pos="3600"/>
        </w:tabs>
        <w:ind w:left="3600" w:hanging="360"/>
      </w:pPr>
      <w:rPr>
        <w:rFonts w:ascii="Arial" w:hAnsi="Arial" w:hint="default"/>
      </w:rPr>
    </w:lvl>
    <w:lvl w:ilvl="5" w:tplc="E32CA46C" w:tentative="1">
      <w:start w:val="1"/>
      <w:numFmt w:val="bullet"/>
      <w:lvlText w:val="•"/>
      <w:lvlJc w:val="left"/>
      <w:pPr>
        <w:tabs>
          <w:tab w:val="num" w:pos="4320"/>
        </w:tabs>
        <w:ind w:left="4320" w:hanging="360"/>
      </w:pPr>
      <w:rPr>
        <w:rFonts w:ascii="Arial" w:hAnsi="Arial" w:hint="default"/>
      </w:rPr>
    </w:lvl>
    <w:lvl w:ilvl="6" w:tplc="504CE9D8" w:tentative="1">
      <w:start w:val="1"/>
      <w:numFmt w:val="bullet"/>
      <w:lvlText w:val="•"/>
      <w:lvlJc w:val="left"/>
      <w:pPr>
        <w:tabs>
          <w:tab w:val="num" w:pos="5040"/>
        </w:tabs>
        <w:ind w:left="5040" w:hanging="360"/>
      </w:pPr>
      <w:rPr>
        <w:rFonts w:ascii="Arial" w:hAnsi="Arial" w:hint="default"/>
      </w:rPr>
    </w:lvl>
    <w:lvl w:ilvl="7" w:tplc="8F34233E" w:tentative="1">
      <w:start w:val="1"/>
      <w:numFmt w:val="bullet"/>
      <w:lvlText w:val="•"/>
      <w:lvlJc w:val="left"/>
      <w:pPr>
        <w:tabs>
          <w:tab w:val="num" w:pos="5760"/>
        </w:tabs>
        <w:ind w:left="5760" w:hanging="360"/>
      </w:pPr>
      <w:rPr>
        <w:rFonts w:ascii="Arial" w:hAnsi="Arial" w:hint="default"/>
      </w:rPr>
    </w:lvl>
    <w:lvl w:ilvl="8" w:tplc="6AAE0FF2"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1"/>
  </w:num>
  <w:num w:numId="3">
    <w:abstractNumId w:val="2"/>
  </w:num>
  <w:num w:numId="4">
    <w:abstractNumId w:val="7"/>
  </w:num>
  <w:num w:numId="5">
    <w:abstractNumId w:val="0"/>
  </w:num>
  <w:num w:numId="6">
    <w:abstractNumId w:val="5"/>
  </w:num>
  <w:num w:numId="7">
    <w:abstractNumId w:val="2"/>
  </w:num>
  <w:num w:numId="8">
    <w:abstractNumId w:val="2"/>
  </w:num>
  <w:num w:numId="9">
    <w:abstractNumId w:val="3"/>
  </w:num>
  <w:num w:numId="10">
    <w:abstractNumId w:val="2"/>
  </w:num>
  <w:num w:numId="11">
    <w:abstractNumId w:val="2"/>
  </w:num>
  <w:num w:numId="12">
    <w:abstractNumId w:val="2"/>
  </w:num>
  <w:num w:numId="13">
    <w:abstractNumId w:val="2"/>
  </w:num>
  <w:num w:numId="14">
    <w:abstractNumId w:val="2"/>
  </w:num>
  <w:num w:numId="15">
    <w:abstractNumId w:val="2"/>
  </w:num>
  <w:num w:numId="16">
    <w:abstractNumId w:val="8"/>
  </w:num>
  <w:num w:numId="17">
    <w:abstractNumId w:val="2"/>
  </w:num>
  <w:num w:numId="18">
    <w:abstractNumId w:val="2"/>
  </w:num>
  <w:num w:numId="19">
    <w:abstractNumId w:val="2"/>
  </w:num>
  <w:num w:numId="20">
    <w:abstractNumId w:val="6"/>
  </w:num>
  <w:num w:numId="21">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929"/>
    <w:rsid w:val="000055AC"/>
    <w:rsid w:val="000059A4"/>
    <w:rsid w:val="000126A7"/>
    <w:rsid w:val="00017658"/>
    <w:rsid w:val="00020BA4"/>
    <w:rsid w:val="000258B3"/>
    <w:rsid w:val="00040EF3"/>
    <w:rsid w:val="00055297"/>
    <w:rsid w:val="00057CF0"/>
    <w:rsid w:val="000622C0"/>
    <w:rsid w:val="00067AFA"/>
    <w:rsid w:val="00074807"/>
    <w:rsid w:val="00075828"/>
    <w:rsid w:val="00091612"/>
    <w:rsid w:val="000A0440"/>
    <w:rsid w:val="000A3363"/>
    <w:rsid w:val="000B05C0"/>
    <w:rsid w:val="000B30A4"/>
    <w:rsid w:val="000B3CC7"/>
    <w:rsid w:val="000B4FAB"/>
    <w:rsid w:val="000B7319"/>
    <w:rsid w:val="000C423C"/>
    <w:rsid w:val="000C49C1"/>
    <w:rsid w:val="000C5748"/>
    <w:rsid w:val="000D0828"/>
    <w:rsid w:val="000D492D"/>
    <w:rsid w:val="000D7BCC"/>
    <w:rsid w:val="000E1170"/>
    <w:rsid w:val="000E330B"/>
    <w:rsid w:val="000E661D"/>
    <w:rsid w:val="000E6A3C"/>
    <w:rsid w:val="000E6DD9"/>
    <w:rsid w:val="000F01A9"/>
    <w:rsid w:val="000F16D0"/>
    <w:rsid w:val="000F3436"/>
    <w:rsid w:val="000F4376"/>
    <w:rsid w:val="000F75DB"/>
    <w:rsid w:val="00102237"/>
    <w:rsid w:val="0010448B"/>
    <w:rsid w:val="00116EAB"/>
    <w:rsid w:val="00126C8B"/>
    <w:rsid w:val="00152E20"/>
    <w:rsid w:val="001530DA"/>
    <w:rsid w:val="0015743D"/>
    <w:rsid w:val="001636D8"/>
    <w:rsid w:val="00171DEA"/>
    <w:rsid w:val="00173D84"/>
    <w:rsid w:val="001855DA"/>
    <w:rsid w:val="00192FAC"/>
    <w:rsid w:val="00193AA5"/>
    <w:rsid w:val="00196A93"/>
    <w:rsid w:val="001C0D93"/>
    <w:rsid w:val="001C32E8"/>
    <w:rsid w:val="001C457A"/>
    <w:rsid w:val="001C63F9"/>
    <w:rsid w:val="001E3A8A"/>
    <w:rsid w:val="001E4249"/>
    <w:rsid w:val="001E5C72"/>
    <w:rsid w:val="00221A27"/>
    <w:rsid w:val="002357F7"/>
    <w:rsid w:val="0024177C"/>
    <w:rsid w:val="00251BB8"/>
    <w:rsid w:val="00251E29"/>
    <w:rsid w:val="00255929"/>
    <w:rsid w:val="00260DC6"/>
    <w:rsid w:val="002636BA"/>
    <w:rsid w:val="0026436B"/>
    <w:rsid w:val="00267F7B"/>
    <w:rsid w:val="00277979"/>
    <w:rsid w:val="00283D8C"/>
    <w:rsid w:val="002925A9"/>
    <w:rsid w:val="002A0870"/>
    <w:rsid w:val="002A46ED"/>
    <w:rsid w:val="002A76CA"/>
    <w:rsid w:val="002C12CA"/>
    <w:rsid w:val="002E0EC9"/>
    <w:rsid w:val="002E13CE"/>
    <w:rsid w:val="002F1596"/>
    <w:rsid w:val="002F1749"/>
    <w:rsid w:val="002F2338"/>
    <w:rsid w:val="002F39BD"/>
    <w:rsid w:val="003025D8"/>
    <w:rsid w:val="003025E2"/>
    <w:rsid w:val="003029F3"/>
    <w:rsid w:val="00306C4B"/>
    <w:rsid w:val="003103AF"/>
    <w:rsid w:val="003151DC"/>
    <w:rsid w:val="00326FB7"/>
    <w:rsid w:val="00331B41"/>
    <w:rsid w:val="00332631"/>
    <w:rsid w:val="003423F3"/>
    <w:rsid w:val="003425F2"/>
    <w:rsid w:val="00346E2F"/>
    <w:rsid w:val="00347F6A"/>
    <w:rsid w:val="00375874"/>
    <w:rsid w:val="00387635"/>
    <w:rsid w:val="00391A04"/>
    <w:rsid w:val="00391B14"/>
    <w:rsid w:val="003935E6"/>
    <w:rsid w:val="00397755"/>
    <w:rsid w:val="003A556D"/>
    <w:rsid w:val="003B12CA"/>
    <w:rsid w:val="003B3657"/>
    <w:rsid w:val="003C08F7"/>
    <w:rsid w:val="003C1DF0"/>
    <w:rsid w:val="003D2968"/>
    <w:rsid w:val="003D2EA8"/>
    <w:rsid w:val="003D4888"/>
    <w:rsid w:val="003D4B63"/>
    <w:rsid w:val="003E4684"/>
    <w:rsid w:val="003E558E"/>
    <w:rsid w:val="00404C8C"/>
    <w:rsid w:val="00405167"/>
    <w:rsid w:val="004119F1"/>
    <w:rsid w:val="004170C6"/>
    <w:rsid w:val="00420A00"/>
    <w:rsid w:val="00422CAF"/>
    <w:rsid w:val="00423EC3"/>
    <w:rsid w:val="004274EE"/>
    <w:rsid w:val="00432505"/>
    <w:rsid w:val="0043667E"/>
    <w:rsid w:val="00441728"/>
    <w:rsid w:val="00441D82"/>
    <w:rsid w:val="00463094"/>
    <w:rsid w:val="0046501B"/>
    <w:rsid w:val="004657E6"/>
    <w:rsid w:val="00471CC6"/>
    <w:rsid w:val="00481DA5"/>
    <w:rsid w:val="00485DC4"/>
    <w:rsid w:val="0048680F"/>
    <w:rsid w:val="00490947"/>
    <w:rsid w:val="004A3385"/>
    <w:rsid w:val="004B7E54"/>
    <w:rsid w:val="004D00F1"/>
    <w:rsid w:val="004D380A"/>
    <w:rsid w:val="004E1DB7"/>
    <w:rsid w:val="004F0847"/>
    <w:rsid w:val="004F458B"/>
    <w:rsid w:val="00505898"/>
    <w:rsid w:val="00507273"/>
    <w:rsid w:val="00516EC5"/>
    <w:rsid w:val="0052765B"/>
    <w:rsid w:val="005278BD"/>
    <w:rsid w:val="00530099"/>
    <w:rsid w:val="005334EF"/>
    <w:rsid w:val="00551CC4"/>
    <w:rsid w:val="00552455"/>
    <w:rsid w:val="005613A7"/>
    <w:rsid w:val="00564EBA"/>
    <w:rsid w:val="00571E51"/>
    <w:rsid w:val="005776F4"/>
    <w:rsid w:val="005778E5"/>
    <w:rsid w:val="00581A4B"/>
    <w:rsid w:val="00582377"/>
    <w:rsid w:val="00583EC5"/>
    <w:rsid w:val="00585F21"/>
    <w:rsid w:val="0059197A"/>
    <w:rsid w:val="00592625"/>
    <w:rsid w:val="00594818"/>
    <w:rsid w:val="005C0EDF"/>
    <w:rsid w:val="005C5499"/>
    <w:rsid w:val="005E0302"/>
    <w:rsid w:val="005E6819"/>
    <w:rsid w:val="005F65BB"/>
    <w:rsid w:val="0060781C"/>
    <w:rsid w:val="00620DCD"/>
    <w:rsid w:val="006240A4"/>
    <w:rsid w:val="006256DB"/>
    <w:rsid w:val="00633F6B"/>
    <w:rsid w:val="0064797F"/>
    <w:rsid w:val="006546FD"/>
    <w:rsid w:val="00655178"/>
    <w:rsid w:val="0065625F"/>
    <w:rsid w:val="00661BA9"/>
    <w:rsid w:val="0067166D"/>
    <w:rsid w:val="0068082B"/>
    <w:rsid w:val="00682B00"/>
    <w:rsid w:val="0069226B"/>
    <w:rsid w:val="006B0D39"/>
    <w:rsid w:val="006B1076"/>
    <w:rsid w:val="006B1B0C"/>
    <w:rsid w:val="006C4D15"/>
    <w:rsid w:val="006C637C"/>
    <w:rsid w:val="006C64EA"/>
    <w:rsid w:val="006D1654"/>
    <w:rsid w:val="006D2593"/>
    <w:rsid w:val="006D37C5"/>
    <w:rsid w:val="006D3E3A"/>
    <w:rsid w:val="006E5908"/>
    <w:rsid w:val="00712849"/>
    <w:rsid w:val="00713251"/>
    <w:rsid w:val="00725163"/>
    <w:rsid w:val="00730BA3"/>
    <w:rsid w:val="0074297A"/>
    <w:rsid w:val="00744B12"/>
    <w:rsid w:val="00745CA5"/>
    <w:rsid w:val="00747040"/>
    <w:rsid w:val="00751FA0"/>
    <w:rsid w:val="007614BB"/>
    <w:rsid w:val="00761B8A"/>
    <w:rsid w:val="00783DBF"/>
    <w:rsid w:val="00793FD4"/>
    <w:rsid w:val="007943C4"/>
    <w:rsid w:val="00797BA4"/>
    <w:rsid w:val="007A1311"/>
    <w:rsid w:val="007A26CE"/>
    <w:rsid w:val="007A3FAB"/>
    <w:rsid w:val="007A4826"/>
    <w:rsid w:val="007A5CA3"/>
    <w:rsid w:val="007B44E5"/>
    <w:rsid w:val="007B4ADF"/>
    <w:rsid w:val="007B5EE6"/>
    <w:rsid w:val="007B6A3F"/>
    <w:rsid w:val="007B6BEF"/>
    <w:rsid w:val="007E35FF"/>
    <w:rsid w:val="007E58E4"/>
    <w:rsid w:val="007E6ECB"/>
    <w:rsid w:val="007F5AAC"/>
    <w:rsid w:val="007F66F1"/>
    <w:rsid w:val="00800AF2"/>
    <w:rsid w:val="00801794"/>
    <w:rsid w:val="00801B5E"/>
    <w:rsid w:val="008022BD"/>
    <w:rsid w:val="008059A7"/>
    <w:rsid w:val="00810F76"/>
    <w:rsid w:val="00811994"/>
    <w:rsid w:val="00834C04"/>
    <w:rsid w:val="00843EE7"/>
    <w:rsid w:val="00853361"/>
    <w:rsid w:val="00853C8B"/>
    <w:rsid w:val="00855057"/>
    <w:rsid w:val="0086220C"/>
    <w:rsid w:val="00862303"/>
    <w:rsid w:val="00864CF8"/>
    <w:rsid w:val="008738E4"/>
    <w:rsid w:val="008811D5"/>
    <w:rsid w:val="00881CA8"/>
    <w:rsid w:val="0089731C"/>
    <w:rsid w:val="008A01C2"/>
    <w:rsid w:val="008A3C82"/>
    <w:rsid w:val="008C0612"/>
    <w:rsid w:val="008C7A8F"/>
    <w:rsid w:val="00901A0A"/>
    <w:rsid w:val="0091216F"/>
    <w:rsid w:val="00914ED3"/>
    <w:rsid w:val="009153F2"/>
    <w:rsid w:val="00916999"/>
    <w:rsid w:val="00917320"/>
    <w:rsid w:val="009301EC"/>
    <w:rsid w:val="00957927"/>
    <w:rsid w:val="00962B86"/>
    <w:rsid w:val="00964CD2"/>
    <w:rsid w:val="00966F93"/>
    <w:rsid w:val="00971D14"/>
    <w:rsid w:val="009908DB"/>
    <w:rsid w:val="00991C2D"/>
    <w:rsid w:val="009931E7"/>
    <w:rsid w:val="009949FA"/>
    <w:rsid w:val="009A07BC"/>
    <w:rsid w:val="009A7772"/>
    <w:rsid w:val="009B4841"/>
    <w:rsid w:val="009B4C21"/>
    <w:rsid w:val="009C2393"/>
    <w:rsid w:val="009C5BAE"/>
    <w:rsid w:val="009C6ABA"/>
    <w:rsid w:val="009D04BA"/>
    <w:rsid w:val="009D56D8"/>
    <w:rsid w:val="009E14DA"/>
    <w:rsid w:val="009E4D59"/>
    <w:rsid w:val="009F269D"/>
    <w:rsid w:val="00A001CC"/>
    <w:rsid w:val="00A07DC7"/>
    <w:rsid w:val="00A1169C"/>
    <w:rsid w:val="00A16AF3"/>
    <w:rsid w:val="00A34E33"/>
    <w:rsid w:val="00A42421"/>
    <w:rsid w:val="00A427AE"/>
    <w:rsid w:val="00A441DE"/>
    <w:rsid w:val="00A50332"/>
    <w:rsid w:val="00A515A8"/>
    <w:rsid w:val="00A5165B"/>
    <w:rsid w:val="00A54644"/>
    <w:rsid w:val="00A6390E"/>
    <w:rsid w:val="00A65D4D"/>
    <w:rsid w:val="00A72808"/>
    <w:rsid w:val="00A75FD0"/>
    <w:rsid w:val="00A81107"/>
    <w:rsid w:val="00A858CC"/>
    <w:rsid w:val="00A85BC8"/>
    <w:rsid w:val="00A90A90"/>
    <w:rsid w:val="00A94F15"/>
    <w:rsid w:val="00A95933"/>
    <w:rsid w:val="00AA11BF"/>
    <w:rsid w:val="00AA6424"/>
    <w:rsid w:val="00AB1C46"/>
    <w:rsid w:val="00AC05C8"/>
    <w:rsid w:val="00AC1347"/>
    <w:rsid w:val="00AC241A"/>
    <w:rsid w:val="00AD0B74"/>
    <w:rsid w:val="00AD70B0"/>
    <w:rsid w:val="00AF1834"/>
    <w:rsid w:val="00AF750B"/>
    <w:rsid w:val="00AF7F93"/>
    <w:rsid w:val="00B02B31"/>
    <w:rsid w:val="00B1202F"/>
    <w:rsid w:val="00B12F88"/>
    <w:rsid w:val="00B13710"/>
    <w:rsid w:val="00B13A0A"/>
    <w:rsid w:val="00B15328"/>
    <w:rsid w:val="00B17F4C"/>
    <w:rsid w:val="00B242DE"/>
    <w:rsid w:val="00B265CF"/>
    <w:rsid w:val="00B40A97"/>
    <w:rsid w:val="00B411F9"/>
    <w:rsid w:val="00B41DF9"/>
    <w:rsid w:val="00B50BDD"/>
    <w:rsid w:val="00B5188D"/>
    <w:rsid w:val="00B5592D"/>
    <w:rsid w:val="00B80B19"/>
    <w:rsid w:val="00B943CC"/>
    <w:rsid w:val="00BA2646"/>
    <w:rsid w:val="00BA3AD6"/>
    <w:rsid w:val="00BA7A76"/>
    <w:rsid w:val="00BB1D73"/>
    <w:rsid w:val="00BC1B98"/>
    <w:rsid w:val="00BC2A21"/>
    <w:rsid w:val="00BD1C03"/>
    <w:rsid w:val="00BD2ADD"/>
    <w:rsid w:val="00BD70A6"/>
    <w:rsid w:val="00BD742D"/>
    <w:rsid w:val="00BE1829"/>
    <w:rsid w:val="00BE43A3"/>
    <w:rsid w:val="00BF5368"/>
    <w:rsid w:val="00BF6FEE"/>
    <w:rsid w:val="00C257A7"/>
    <w:rsid w:val="00C33297"/>
    <w:rsid w:val="00C3392A"/>
    <w:rsid w:val="00C369E8"/>
    <w:rsid w:val="00C401C6"/>
    <w:rsid w:val="00C420BA"/>
    <w:rsid w:val="00C43704"/>
    <w:rsid w:val="00C454EA"/>
    <w:rsid w:val="00C46C5F"/>
    <w:rsid w:val="00C509B8"/>
    <w:rsid w:val="00C50BB9"/>
    <w:rsid w:val="00C86B22"/>
    <w:rsid w:val="00C92D9F"/>
    <w:rsid w:val="00CA1D8C"/>
    <w:rsid w:val="00CB77C9"/>
    <w:rsid w:val="00CC5FB4"/>
    <w:rsid w:val="00CD7753"/>
    <w:rsid w:val="00CE018A"/>
    <w:rsid w:val="00CE691C"/>
    <w:rsid w:val="00CF3BEF"/>
    <w:rsid w:val="00CF6AA5"/>
    <w:rsid w:val="00D15D55"/>
    <w:rsid w:val="00D160AF"/>
    <w:rsid w:val="00D27E31"/>
    <w:rsid w:val="00D31291"/>
    <w:rsid w:val="00D356AD"/>
    <w:rsid w:val="00D40179"/>
    <w:rsid w:val="00D423AF"/>
    <w:rsid w:val="00D47D4E"/>
    <w:rsid w:val="00D506A9"/>
    <w:rsid w:val="00D63701"/>
    <w:rsid w:val="00D65365"/>
    <w:rsid w:val="00D70ECB"/>
    <w:rsid w:val="00D826AC"/>
    <w:rsid w:val="00D9647C"/>
    <w:rsid w:val="00DA1B1A"/>
    <w:rsid w:val="00DA225E"/>
    <w:rsid w:val="00DB079D"/>
    <w:rsid w:val="00DB0807"/>
    <w:rsid w:val="00DB1328"/>
    <w:rsid w:val="00DB500E"/>
    <w:rsid w:val="00DC1474"/>
    <w:rsid w:val="00DC1C61"/>
    <w:rsid w:val="00DC2C37"/>
    <w:rsid w:val="00DC4326"/>
    <w:rsid w:val="00DD1A40"/>
    <w:rsid w:val="00DD7189"/>
    <w:rsid w:val="00DE1CF2"/>
    <w:rsid w:val="00DE3454"/>
    <w:rsid w:val="00DE5C32"/>
    <w:rsid w:val="00DF17BF"/>
    <w:rsid w:val="00DF7D1A"/>
    <w:rsid w:val="00E10640"/>
    <w:rsid w:val="00E1288E"/>
    <w:rsid w:val="00E152A7"/>
    <w:rsid w:val="00E1536A"/>
    <w:rsid w:val="00E229DF"/>
    <w:rsid w:val="00E24571"/>
    <w:rsid w:val="00E3126E"/>
    <w:rsid w:val="00E31D79"/>
    <w:rsid w:val="00E35AA8"/>
    <w:rsid w:val="00E374F7"/>
    <w:rsid w:val="00E42FFB"/>
    <w:rsid w:val="00E4508B"/>
    <w:rsid w:val="00E454BA"/>
    <w:rsid w:val="00E47F32"/>
    <w:rsid w:val="00E50945"/>
    <w:rsid w:val="00E52377"/>
    <w:rsid w:val="00E5727E"/>
    <w:rsid w:val="00E62969"/>
    <w:rsid w:val="00E6727F"/>
    <w:rsid w:val="00E7629E"/>
    <w:rsid w:val="00E77C26"/>
    <w:rsid w:val="00E84A70"/>
    <w:rsid w:val="00E84C1D"/>
    <w:rsid w:val="00E91C2A"/>
    <w:rsid w:val="00E9733A"/>
    <w:rsid w:val="00EA6D48"/>
    <w:rsid w:val="00EB17D8"/>
    <w:rsid w:val="00EB60E7"/>
    <w:rsid w:val="00EB767D"/>
    <w:rsid w:val="00EC5C31"/>
    <w:rsid w:val="00ED0E2E"/>
    <w:rsid w:val="00ED15FD"/>
    <w:rsid w:val="00ED64C8"/>
    <w:rsid w:val="00EE33BF"/>
    <w:rsid w:val="00EF4D87"/>
    <w:rsid w:val="00F0008C"/>
    <w:rsid w:val="00F27364"/>
    <w:rsid w:val="00F3046D"/>
    <w:rsid w:val="00F43C74"/>
    <w:rsid w:val="00F47D15"/>
    <w:rsid w:val="00F556BC"/>
    <w:rsid w:val="00F57FE2"/>
    <w:rsid w:val="00F635A3"/>
    <w:rsid w:val="00F64567"/>
    <w:rsid w:val="00F76EC5"/>
    <w:rsid w:val="00F8182D"/>
    <w:rsid w:val="00F83D10"/>
    <w:rsid w:val="00F85CE1"/>
    <w:rsid w:val="00F95DE1"/>
    <w:rsid w:val="00FB0240"/>
    <w:rsid w:val="00FB6C52"/>
    <w:rsid w:val="00FC067E"/>
    <w:rsid w:val="00FC5CC6"/>
    <w:rsid w:val="00FD1ACC"/>
    <w:rsid w:val="00FD5A59"/>
    <w:rsid w:val="00FD6A99"/>
    <w:rsid w:val="00FE19A5"/>
    <w:rsid w:val="00FF0C8B"/>
    <w:rsid w:val="00FF25C2"/>
    <w:rsid w:val="00FF6D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1745116"/>
  <w15:docId w15:val="{0D1332B5-571F-43E5-94C3-43F081D24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SEC Paper Body"/>
    <w:qFormat/>
    <w:rsid w:val="00B13710"/>
    <w:pPr>
      <w:spacing w:after="120"/>
    </w:pPr>
    <w:rPr>
      <w:rFonts w:ascii="Arial" w:hAnsi="Arial"/>
      <w:color w:val="404040" w:themeColor="text1" w:themeTint="BF"/>
      <w:sz w:val="20"/>
    </w:rPr>
  </w:style>
  <w:style w:type="paragraph" w:styleId="Heading1">
    <w:name w:val="heading 1"/>
    <w:basedOn w:val="Normal"/>
    <w:next w:val="Normal"/>
    <w:link w:val="Heading1Char"/>
    <w:uiPriority w:val="9"/>
    <w:rsid w:val="000D0828"/>
    <w:pPr>
      <w:keepNext/>
      <w:keepLines/>
      <w:numPr>
        <w:numId w:val="1"/>
      </w:numPr>
      <w:spacing w:before="480" w:after="360"/>
      <w:ind w:left="357" w:hanging="357"/>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rsid w:val="000D0828"/>
    <w:pPr>
      <w:keepNext/>
      <w:keepLines/>
      <w:numPr>
        <w:numId w:val="2"/>
      </w:numPr>
      <w:spacing w:before="120"/>
      <w:ind w:left="357" w:hanging="357"/>
      <w:outlineLvl w:val="1"/>
    </w:pPr>
    <w:rPr>
      <w:rFonts w:eastAsiaTheme="majorEastAsia" w:cstheme="majorBidi"/>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able Style Purple"/>
    <w:basedOn w:val="TableNormal"/>
    <w:rsid w:val="00020B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45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458B"/>
  </w:style>
  <w:style w:type="paragraph" w:styleId="Footer">
    <w:name w:val="footer"/>
    <w:basedOn w:val="Normal"/>
    <w:link w:val="FooterChar"/>
    <w:uiPriority w:val="99"/>
    <w:unhideWhenUsed/>
    <w:rsid w:val="004F45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458B"/>
  </w:style>
  <w:style w:type="paragraph" w:styleId="BalloonText">
    <w:name w:val="Balloon Text"/>
    <w:basedOn w:val="Normal"/>
    <w:link w:val="BalloonTextChar"/>
    <w:uiPriority w:val="99"/>
    <w:semiHidden/>
    <w:unhideWhenUsed/>
    <w:rsid w:val="004F45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58B"/>
    <w:rPr>
      <w:rFonts w:ascii="Tahoma" w:hAnsi="Tahoma" w:cs="Tahoma"/>
      <w:sz w:val="16"/>
      <w:szCs w:val="16"/>
    </w:rPr>
  </w:style>
  <w:style w:type="character" w:customStyle="1" w:styleId="Heading1Char">
    <w:name w:val="Heading 1 Char"/>
    <w:basedOn w:val="DefaultParagraphFont"/>
    <w:link w:val="Heading1"/>
    <w:uiPriority w:val="9"/>
    <w:rsid w:val="000D0828"/>
    <w:rPr>
      <w:rFonts w:ascii="Arial" w:eastAsiaTheme="majorEastAsia" w:hAnsi="Arial" w:cstheme="majorBidi"/>
      <w:b/>
      <w:bCs/>
      <w:color w:val="404040" w:themeColor="text1" w:themeTint="BF"/>
      <w:sz w:val="28"/>
      <w:szCs w:val="28"/>
    </w:rPr>
  </w:style>
  <w:style w:type="character" w:customStyle="1" w:styleId="Heading2Char">
    <w:name w:val="Heading 2 Char"/>
    <w:basedOn w:val="DefaultParagraphFont"/>
    <w:link w:val="Heading2"/>
    <w:uiPriority w:val="9"/>
    <w:rsid w:val="000D0828"/>
    <w:rPr>
      <w:rFonts w:ascii="Arial" w:eastAsiaTheme="majorEastAsia" w:hAnsi="Arial" w:cstheme="majorBidi"/>
      <w:b/>
      <w:bCs/>
      <w:color w:val="404040" w:themeColor="text1" w:themeTint="BF"/>
      <w:szCs w:val="26"/>
    </w:rPr>
  </w:style>
  <w:style w:type="paragraph" w:styleId="Title">
    <w:name w:val="Title"/>
    <w:basedOn w:val="Normal"/>
    <w:next w:val="Normal"/>
    <w:link w:val="TitleChar"/>
    <w:uiPriority w:val="10"/>
    <w:rsid w:val="000D0828"/>
    <w:pPr>
      <w:spacing w:before="240" w:after="480" w:line="240" w:lineRule="auto"/>
      <w:jc w:val="center"/>
    </w:pPr>
    <w:rPr>
      <w:rFonts w:eastAsiaTheme="majorEastAsia" w:cstheme="majorBidi"/>
      <w:b/>
      <w:spacing w:val="5"/>
      <w:kern w:val="28"/>
      <w:sz w:val="32"/>
      <w:szCs w:val="52"/>
    </w:rPr>
  </w:style>
  <w:style w:type="character" w:customStyle="1" w:styleId="TitleChar">
    <w:name w:val="Title Char"/>
    <w:basedOn w:val="DefaultParagraphFont"/>
    <w:link w:val="Title"/>
    <w:uiPriority w:val="10"/>
    <w:rsid w:val="000D0828"/>
    <w:rPr>
      <w:rFonts w:ascii="Arial" w:eastAsiaTheme="majorEastAsia" w:hAnsi="Arial" w:cstheme="majorBidi"/>
      <w:b/>
      <w:color w:val="404040" w:themeColor="text1" w:themeTint="BF"/>
      <w:spacing w:val="5"/>
      <w:kern w:val="28"/>
      <w:sz w:val="32"/>
      <w:szCs w:val="52"/>
    </w:rPr>
  </w:style>
  <w:style w:type="paragraph" w:styleId="Subtitle">
    <w:name w:val="Subtitle"/>
    <w:aliases w:val="Heading"/>
    <w:basedOn w:val="Normal"/>
    <w:next w:val="Normal"/>
    <w:link w:val="SubtitleChar"/>
    <w:autoRedefine/>
    <w:uiPriority w:val="11"/>
    <w:qFormat/>
    <w:rsid w:val="00F556BC"/>
    <w:pPr>
      <w:keepNext/>
      <w:spacing w:before="480"/>
    </w:pPr>
    <w:rPr>
      <w:rFonts w:eastAsiaTheme="majorEastAsia" w:cstheme="majorBidi"/>
      <w:b/>
      <w:iCs/>
      <w:spacing w:val="15"/>
      <w:sz w:val="24"/>
      <w:szCs w:val="24"/>
    </w:rPr>
  </w:style>
  <w:style w:type="character" w:customStyle="1" w:styleId="SubtitleChar">
    <w:name w:val="Subtitle Char"/>
    <w:aliases w:val="Heading Char"/>
    <w:basedOn w:val="DefaultParagraphFont"/>
    <w:link w:val="Subtitle"/>
    <w:uiPriority w:val="11"/>
    <w:rsid w:val="00F556BC"/>
    <w:rPr>
      <w:rFonts w:ascii="Arial" w:eastAsiaTheme="majorEastAsia" w:hAnsi="Arial" w:cstheme="majorBidi"/>
      <w:b/>
      <w:iCs/>
      <w:color w:val="404040" w:themeColor="text1" w:themeTint="BF"/>
      <w:spacing w:val="15"/>
      <w:sz w:val="24"/>
      <w:szCs w:val="24"/>
    </w:rPr>
  </w:style>
  <w:style w:type="character" w:customStyle="1" w:styleId="MRABodyChar">
    <w:name w:val="MRA Body Char"/>
    <w:basedOn w:val="DefaultParagraphFont"/>
    <w:link w:val="MRABody"/>
    <w:locked/>
    <w:rsid w:val="00E1288E"/>
  </w:style>
  <w:style w:type="paragraph" w:customStyle="1" w:styleId="MRABody">
    <w:name w:val="MRA Body"/>
    <w:basedOn w:val="Normal"/>
    <w:link w:val="MRABodyChar"/>
    <w:rsid w:val="00E1288E"/>
    <w:pPr>
      <w:keepLines/>
      <w:spacing w:line="288" w:lineRule="auto"/>
      <w:jc w:val="both"/>
    </w:pPr>
    <w:rPr>
      <w:rFonts w:asciiTheme="minorHAnsi" w:hAnsiTheme="minorHAnsi"/>
      <w:color w:val="auto"/>
      <w:sz w:val="22"/>
    </w:rPr>
  </w:style>
  <w:style w:type="table" w:customStyle="1" w:styleId="SECTable">
    <w:name w:val="SEC Table"/>
    <w:basedOn w:val="TableNormal"/>
    <w:uiPriority w:val="99"/>
    <w:rsid w:val="00881CA8"/>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w:hAnsi="Arial"/>
        <w:b/>
        <w:color w:val="FFFFFF" w:themeColor="background1"/>
        <w:sz w:val="20"/>
      </w:rPr>
      <w:tblPr/>
      <w:tcPr>
        <w:shd w:val="clear" w:color="auto" w:fill="00B0F0"/>
      </w:tcPr>
    </w:tblStylePr>
  </w:style>
  <w:style w:type="paragraph" w:styleId="ListParagraph">
    <w:name w:val="List Paragraph"/>
    <w:aliases w:val="SEC Bullet Point,Dot pt,No Spacing1,List Paragraph Char Char Char,Indicator Text,Numbered Para 1,List Paragraph1,Bullet 1,Bullet Points,MAIN CONTENT,List Paragraph12,List Para,Bullet text"/>
    <w:basedOn w:val="Normal"/>
    <w:link w:val="ListParagraphChar"/>
    <w:qFormat/>
    <w:rsid w:val="00EE33BF"/>
    <w:pPr>
      <w:numPr>
        <w:numId w:val="3"/>
      </w:numPr>
    </w:pPr>
  </w:style>
  <w:style w:type="paragraph" w:customStyle="1" w:styleId="SECPaperTitle">
    <w:name w:val="SEC Paper Title"/>
    <w:basedOn w:val="Title"/>
    <w:link w:val="SECPaperTitleChar"/>
    <w:qFormat/>
    <w:rsid w:val="001E4249"/>
  </w:style>
  <w:style w:type="paragraph" w:customStyle="1" w:styleId="Sub-Heading">
    <w:name w:val="Sub-Heading"/>
    <w:basedOn w:val="Normal"/>
    <w:link w:val="Sub-HeadingChar"/>
    <w:rsid w:val="00267F7B"/>
    <w:rPr>
      <w:b/>
    </w:rPr>
  </w:style>
  <w:style w:type="character" w:customStyle="1" w:styleId="SECPaperTitleChar">
    <w:name w:val="SEC Paper Title Char"/>
    <w:basedOn w:val="TitleChar"/>
    <w:link w:val="SECPaperTitle"/>
    <w:rsid w:val="001E4249"/>
    <w:rPr>
      <w:rFonts w:ascii="Arial" w:eastAsiaTheme="majorEastAsia" w:hAnsi="Arial" w:cstheme="majorBidi"/>
      <w:b/>
      <w:color w:val="404040" w:themeColor="text1" w:themeTint="BF"/>
      <w:spacing w:val="5"/>
      <w:kern w:val="28"/>
      <w:sz w:val="32"/>
      <w:szCs w:val="52"/>
    </w:rPr>
  </w:style>
  <w:style w:type="numbering" w:customStyle="1" w:styleId="SECPanelPaperHeadings">
    <w:name w:val="SEC Panel Paper Headings"/>
    <w:uiPriority w:val="99"/>
    <w:rsid w:val="00E5727E"/>
    <w:pPr>
      <w:numPr>
        <w:numId w:val="4"/>
      </w:numPr>
    </w:pPr>
  </w:style>
  <w:style w:type="character" w:customStyle="1" w:styleId="Sub-HeadingChar">
    <w:name w:val="Sub-Heading Char"/>
    <w:basedOn w:val="DefaultParagraphFont"/>
    <w:link w:val="Sub-Heading"/>
    <w:rsid w:val="00267F7B"/>
    <w:rPr>
      <w:rFonts w:ascii="Arial" w:hAnsi="Arial"/>
      <w:b/>
      <w:color w:val="404040" w:themeColor="text1" w:themeTint="BF"/>
      <w:sz w:val="20"/>
    </w:rPr>
  </w:style>
  <w:style w:type="paragraph" w:styleId="Caption">
    <w:name w:val="caption"/>
    <w:aliases w:val="Caption SEC Table"/>
    <w:basedOn w:val="Sub-Heading"/>
    <w:next w:val="Normal"/>
    <w:uiPriority w:val="35"/>
    <w:unhideWhenUsed/>
    <w:qFormat/>
    <w:rsid w:val="00267F7B"/>
    <w:pPr>
      <w:ind w:left="709" w:hanging="709"/>
      <w:jc w:val="right"/>
    </w:pPr>
    <w:rPr>
      <w:i/>
    </w:rPr>
  </w:style>
  <w:style w:type="paragraph" w:customStyle="1" w:styleId="Subheading">
    <w:name w:val="Subheading"/>
    <w:basedOn w:val="Subtitle"/>
    <w:next w:val="Normal"/>
    <w:qFormat/>
    <w:rsid w:val="00F57FE2"/>
    <w:pPr>
      <w:numPr>
        <w:ilvl w:val="1"/>
      </w:numPr>
      <w:spacing w:before="0"/>
    </w:pPr>
    <w:rPr>
      <w:sz w:val="20"/>
    </w:rPr>
  </w:style>
  <w:style w:type="numbering" w:customStyle="1" w:styleId="Subtitles">
    <w:name w:val="Subtitles"/>
    <w:uiPriority w:val="99"/>
    <w:rsid w:val="00A75FD0"/>
    <w:pPr>
      <w:numPr>
        <w:numId w:val="5"/>
      </w:numPr>
    </w:pPr>
  </w:style>
  <w:style w:type="paragraph" w:customStyle="1" w:styleId="TableHeading">
    <w:name w:val="Table Heading"/>
    <w:basedOn w:val="Normal"/>
    <w:link w:val="TableHeadingChar"/>
    <w:qFormat/>
    <w:rsid w:val="003C08F7"/>
    <w:pPr>
      <w:spacing w:after="0" w:line="240" w:lineRule="auto"/>
      <w:jc w:val="center"/>
    </w:pPr>
    <w:rPr>
      <w:rFonts w:eastAsiaTheme="minorEastAsia" w:cs="Arial"/>
      <w:b/>
      <w:color w:val="FFFFFF" w:themeColor="background1"/>
      <w:sz w:val="22"/>
      <w:lang w:eastAsia="en-GB"/>
    </w:rPr>
  </w:style>
  <w:style w:type="character" w:customStyle="1" w:styleId="TableHeadingChar">
    <w:name w:val="Table Heading Char"/>
    <w:basedOn w:val="DefaultParagraphFont"/>
    <w:link w:val="TableHeading"/>
    <w:rsid w:val="003C08F7"/>
    <w:rPr>
      <w:rFonts w:ascii="Arial" w:eastAsiaTheme="minorEastAsia" w:hAnsi="Arial" w:cs="Arial"/>
      <w:b/>
      <w:color w:val="FFFFFF" w:themeColor="background1"/>
      <w:lang w:eastAsia="en-GB"/>
    </w:rPr>
  </w:style>
  <w:style w:type="character" w:customStyle="1" w:styleId="ListParagraphChar">
    <w:name w:val="List Paragraph Char"/>
    <w:aliases w:val="SEC Bullet Point Char,Dot pt Char,No Spacing1 Char,List Paragraph Char Char Char Char,Indicator Text Char,Numbered Para 1 Char,List Paragraph1 Char,Bullet 1 Char,Bullet Points Char,MAIN CONTENT Char,List Paragraph12 Char"/>
    <w:basedOn w:val="DefaultParagraphFont"/>
    <w:link w:val="ListParagraph"/>
    <w:qFormat/>
    <w:locked/>
    <w:rsid w:val="003C08F7"/>
    <w:rPr>
      <w:rFonts w:ascii="Arial" w:hAnsi="Arial"/>
      <w:color w:val="404040" w:themeColor="text1" w:themeTint="BF"/>
      <w:sz w:val="20"/>
    </w:rPr>
  </w:style>
  <w:style w:type="table" w:customStyle="1" w:styleId="TableGrid1">
    <w:name w:val="Table Grid1"/>
    <w:basedOn w:val="TableNormal"/>
    <w:uiPriority w:val="59"/>
    <w:rsid w:val="003C08F7"/>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13710"/>
    <w:rPr>
      <w:color w:val="0563C1"/>
      <w:u w:val="single"/>
    </w:rPr>
  </w:style>
  <w:style w:type="character" w:styleId="CommentReference">
    <w:name w:val="annotation reference"/>
    <w:basedOn w:val="DefaultParagraphFont"/>
    <w:uiPriority w:val="99"/>
    <w:semiHidden/>
    <w:unhideWhenUsed/>
    <w:rsid w:val="00810F76"/>
    <w:rPr>
      <w:sz w:val="16"/>
      <w:szCs w:val="16"/>
    </w:rPr>
  </w:style>
  <w:style w:type="paragraph" w:styleId="CommentText">
    <w:name w:val="annotation text"/>
    <w:basedOn w:val="Normal"/>
    <w:link w:val="CommentTextChar"/>
    <w:uiPriority w:val="99"/>
    <w:semiHidden/>
    <w:unhideWhenUsed/>
    <w:rsid w:val="00810F76"/>
    <w:pPr>
      <w:spacing w:line="240" w:lineRule="auto"/>
    </w:pPr>
    <w:rPr>
      <w:szCs w:val="20"/>
    </w:rPr>
  </w:style>
  <w:style w:type="character" w:customStyle="1" w:styleId="CommentTextChar">
    <w:name w:val="Comment Text Char"/>
    <w:basedOn w:val="DefaultParagraphFont"/>
    <w:link w:val="CommentText"/>
    <w:uiPriority w:val="99"/>
    <w:semiHidden/>
    <w:rsid w:val="00810F76"/>
    <w:rPr>
      <w:rFonts w:ascii="Arial" w:hAnsi="Arial"/>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810F76"/>
    <w:rPr>
      <w:b/>
      <w:bCs/>
    </w:rPr>
  </w:style>
  <w:style w:type="character" w:customStyle="1" w:styleId="CommentSubjectChar">
    <w:name w:val="Comment Subject Char"/>
    <w:basedOn w:val="CommentTextChar"/>
    <w:link w:val="CommentSubject"/>
    <w:uiPriority w:val="99"/>
    <w:semiHidden/>
    <w:rsid w:val="00810F76"/>
    <w:rPr>
      <w:rFonts w:ascii="Arial" w:hAnsi="Arial"/>
      <w:b/>
      <w:bCs/>
      <w:color w:val="404040" w:themeColor="text1" w:themeTint="BF"/>
      <w:sz w:val="20"/>
      <w:szCs w:val="20"/>
    </w:rPr>
  </w:style>
  <w:style w:type="paragraph" w:styleId="Revision">
    <w:name w:val="Revision"/>
    <w:hidden/>
    <w:uiPriority w:val="99"/>
    <w:semiHidden/>
    <w:rsid w:val="00AF1834"/>
    <w:pPr>
      <w:spacing w:after="0" w:line="240" w:lineRule="auto"/>
    </w:pPr>
    <w:rPr>
      <w:rFonts w:ascii="Arial" w:hAnsi="Arial"/>
      <w:color w:val="404040" w:themeColor="text1" w:themeTint="BF"/>
      <w:sz w:val="20"/>
    </w:rPr>
  </w:style>
  <w:style w:type="character" w:styleId="UnresolvedMention">
    <w:name w:val="Unresolved Mention"/>
    <w:basedOn w:val="DefaultParagraphFont"/>
    <w:uiPriority w:val="99"/>
    <w:semiHidden/>
    <w:unhideWhenUsed/>
    <w:rsid w:val="003025E2"/>
    <w:rPr>
      <w:color w:val="605E5C"/>
      <w:shd w:val="clear" w:color="auto" w:fill="E1DFDD"/>
    </w:rPr>
  </w:style>
  <w:style w:type="table" w:customStyle="1" w:styleId="TableGrid11">
    <w:name w:val="Table Grid11"/>
    <w:basedOn w:val="TableNormal"/>
    <w:uiPriority w:val="59"/>
    <w:rsid w:val="00E152A7"/>
    <w:pPr>
      <w:spacing w:after="0" w:line="240" w:lineRule="auto"/>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Text1">
    <w:name w:val="Comment Text1"/>
    <w:basedOn w:val="Normal"/>
    <w:next w:val="CommentText"/>
    <w:uiPriority w:val="99"/>
    <w:semiHidden/>
    <w:unhideWhenUsed/>
    <w:rsid w:val="00E152A7"/>
    <w:pPr>
      <w:spacing w:line="240" w:lineRule="auto"/>
    </w:pPr>
    <w:rPr>
      <w:color w:val="404040"/>
      <w:szCs w:val="20"/>
    </w:rPr>
  </w:style>
  <w:style w:type="paragraph" w:styleId="FootnoteText">
    <w:name w:val="footnote text"/>
    <w:basedOn w:val="Normal"/>
    <w:link w:val="FootnoteTextChar"/>
    <w:uiPriority w:val="99"/>
    <w:semiHidden/>
    <w:unhideWhenUsed/>
    <w:rsid w:val="003D2968"/>
    <w:pPr>
      <w:spacing w:after="0" w:line="240" w:lineRule="auto"/>
    </w:pPr>
    <w:rPr>
      <w:szCs w:val="20"/>
    </w:rPr>
  </w:style>
  <w:style w:type="character" w:customStyle="1" w:styleId="FootnoteTextChar">
    <w:name w:val="Footnote Text Char"/>
    <w:basedOn w:val="DefaultParagraphFont"/>
    <w:link w:val="FootnoteText"/>
    <w:uiPriority w:val="99"/>
    <w:semiHidden/>
    <w:rsid w:val="003D2968"/>
    <w:rPr>
      <w:rFonts w:ascii="Arial" w:hAnsi="Arial"/>
      <w:color w:val="404040" w:themeColor="text1" w:themeTint="BF"/>
      <w:sz w:val="20"/>
      <w:szCs w:val="20"/>
    </w:rPr>
  </w:style>
  <w:style w:type="character" w:styleId="FootnoteReference">
    <w:name w:val="footnote reference"/>
    <w:basedOn w:val="DefaultParagraphFont"/>
    <w:uiPriority w:val="99"/>
    <w:semiHidden/>
    <w:unhideWhenUsed/>
    <w:rsid w:val="003D2968"/>
    <w:rPr>
      <w:vertAlign w:val="superscript"/>
    </w:rPr>
  </w:style>
  <w:style w:type="paragraph" w:customStyle="1" w:styleId="Tabletitle">
    <w:name w:val="Table title"/>
    <w:basedOn w:val="Normal"/>
    <w:uiPriority w:val="8"/>
    <w:qFormat/>
    <w:rsid w:val="003D2968"/>
    <w:pPr>
      <w:keepNext/>
      <w:spacing w:before="40" w:after="40" w:line="240" w:lineRule="auto"/>
      <w:jc w:val="center"/>
    </w:pPr>
    <w:rPr>
      <w:b/>
      <w:color w:val="FFFFFF" w:themeColor="background1"/>
    </w:rPr>
  </w:style>
  <w:style w:type="paragraph" w:customStyle="1" w:styleId="Tablecolumheader">
    <w:name w:val="Table colum header"/>
    <w:basedOn w:val="Normal"/>
    <w:uiPriority w:val="8"/>
    <w:qFormat/>
    <w:rsid w:val="003D2968"/>
    <w:pPr>
      <w:keepNext/>
      <w:spacing w:before="40" w:after="40" w:line="240" w:lineRule="auto"/>
      <w:jc w:val="center"/>
    </w:pPr>
    <w:rPr>
      <w:b/>
      <w:color w:val="007C31"/>
    </w:rPr>
  </w:style>
  <w:style w:type="paragraph" w:customStyle="1" w:styleId="Tablebodytext">
    <w:name w:val="Table body text"/>
    <w:basedOn w:val="Normal"/>
    <w:uiPriority w:val="8"/>
    <w:qFormat/>
    <w:rsid w:val="003D2968"/>
    <w:pPr>
      <w:spacing w:before="40" w:after="4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12013">
      <w:bodyDiv w:val="1"/>
      <w:marLeft w:val="0"/>
      <w:marRight w:val="0"/>
      <w:marTop w:val="0"/>
      <w:marBottom w:val="0"/>
      <w:divBdr>
        <w:top w:val="none" w:sz="0" w:space="0" w:color="auto"/>
        <w:left w:val="none" w:sz="0" w:space="0" w:color="auto"/>
        <w:bottom w:val="none" w:sz="0" w:space="0" w:color="auto"/>
        <w:right w:val="none" w:sz="0" w:space="0" w:color="auto"/>
      </w:divBdr>
    </w:div>
    <w:div w:id="252518843">
      <w:bodyDiv w:val="1"/>
      <w:marLeft w:val="0"/>
      <w:marRight w:val="0"/>
      <w:marTop w:val="0"/>
      <w:marBottom w:val="0"/>
      <w:divBdr>
        <w:top w:val="none" w:sz="0" w:space="0" w:color="auto"/>
        <w:left w:val="none" w:sz="0" w:space="0" w:color="auto"/>
        <w:bottom w:val="none" w:sz="0" w:space="0" w:color="auto"/>
        <w:right w:val="none" w:sz="0" w:space="0" w:color="auto"/>
      </w:divBdr>
      <w:divsChild>
        <w:div w:id="1179855502">
          <w:marLeft w:val="360"/>
          <w:marRight w:val="0"/>
          <w:marTop w:val="200"/>
          <w:marBottom w:val="0"/>
          <w:divBdr>
            <w:top w:val="none" w:sz="0" w:space="0" w:color="auto"/>
            <w:left w:val="none" w:sz="0" w:space="0" w:color="auto"/>
            <w:bottom w:val="none" w:sz="0" w:space="0" w:color="auto"/>
            <w:right w:val="none" w:sz="0" w:space="0" w:color="auto"/>
          </w:divBdr>
        </w:div>
      </w:divsChild>
    </w:div>
    <w:div w:id="360710582">
      <w:bodyDiv w:val="1"/>
      <w:marLeft w:val="0"/>
      <w:marRight w:val="0"/>
      <w:marTop w:val="0"/>
      <w:marBottom w:val="0"/>
      <w:divBdr>
        <w:top w:val="none" w:sz="0" w:space="0" w:color="auto"/>
        <w:left w:val="none" w:sz="0" w:space="0" w:color="auto"/>
        <w:bottom w:val="none" w:sz="0" w:space="0" w:color="auto"/>
        <w:right w:val="none" w:sz="0" w:space="0" w:color="auto"/>
      </w:divBdr>
      <w:divsChild>
        <w:div w:id="1685090880">
          <w:marLeft w:val="360"/>
          <w:marRight w:val="0"/>
          <w:marTop w:val="200"/>
          <w:marBottom w:val="0"/>
          <w:divBdr>
            <w:top w:val="none" w:sz="0" w:space="0" w:color="auto"/>
            <w:left w:val="none" w:sz="0" w:space="0" w:color="auto"/>
            <w:bottom w:val="none" w:sz="0" w:space="0" w:color="auto"/>
            <w:right w:val="none" w:sz="0" w:space="0" w:color="auto"/>
          </w:divBdr>
        </w:div>
        <w:div w:id="682633571">
          <w:marLeft w:val="360"/>
          <w:marRight w:val="0"/>
          <w:marTop w:val="200"/>
          <w:marBottom w:val="0"/>
          <w:divBdr>
            <w:top w:val="none" w:sz="0" w:space="0" w:color="auto"/>
            <w:left w:val="none" w:sz="0" w:space="0" w:color="auto"/>
            <w:bottom w:val="none" w:sz="0" w:space="0" w:color="auto"/>
            <w:right w:val="none" w:sz="0" w:space="0" w:color="auto"/>
          </w:divBdr>
        </w:div>
        <w:div w:id="1710062870">
          <w:marLeft w:val="360"/>
          <w:marRight w:val="0"/>
          <w:marTop w:val="200"/>
          <w:marBottom w:val="0"/>
          <w:divBdr>
            <w:top w:val="none" w:sz="0" w:space="0" w:color="auto"/>
            <w:left w:val="none" w:sz="0" w:space="0" w:color="auto"/>
            <w:bottom w:val="none" w:sz="0" w:space="0" w:color="auto"/>
            <w:right w:val="none" w:sz="0" w:space="0" w:color="auto"/>
          </w:divBdr>
        </w:div>
        <w:div w:id="1766613865">
          <w:marLeft w:val="360"/>
          <w:marRight w:val="0"/>
          <w:marTop w:val="200"/>
          <w:marBottom w:val="0"/>
          <w:divBdr>
            <w:top w:val="none" w:sz="0" w:space="0" w:color="auto"/>
            <w:left w:val="none" w:sz="0" w:space="0" w:color="auto"/>
            <w:bottom w:val="none" w:sz="0" w:space="0" w:color="auto"/>
            <w:right w:val="none" w:sz="0" w:space="0" w:color="auto"/>
          </w:divBdr>
        </w:div>
        <w:div w:id="246155212">
          <w:marLeft w:val="360"/>
          <w:marRight w:val="0"/>
          <w:marTop w:val="200"/>
          <w:marBottom w:val="0"/>
          <w:divBdr>
            <w:top w:val="none" w:sz="0" w:space="0" w:color="auto"/>
            <w:left w:val="none" w:sz="0" w:space="0" w:color="auto"/>
            <w:bottom w:val="none" w:sz="0" w:space="0" w:color="auto"/>
            <w:right w:val="none" w:sz="0" w:space="0" w:color="auto"/>
          </w:divBdr>
        </w:div>
      </w:divsChild>
    </w:div>
    <w:div w:id="441612215">
      <w:bodyDiv w:val="1"/>
      <w:marLeft w:val="0"/>
      <w:marRight w:val="0"/>
      <w:marTop w:val="0"/>
      <w:marBottom w:val="0"/>
      <w:divBdr>
        <w:top w:val="none" w:sz="0" w:space="0" w:color="auto"/>
        <w:left w:val="none" w:sz="0" w:space="0" w:color="auto"/>
        <w:bottom w:val="none" w:sz="0" w:space="0" w:color="auto"/>
        <w:right w:val="none" w:sz="0" w:space="0" w:color="auto"/>
      </w:divBdr>
      <w:divsChild>
        <w:div w:id="1756315620">
          <w:marLeft w:val="360"/>
          <w:marRight w:val="0"/>
          <w:marTop w:val="200"/>
          <w:marBottom w:val="0"/>
          <w:divBdr>
            <w:top w:val="none" w:sz="0" w:space="0" w:color="auto"/>
            <w:left w:val="none" w:sz="0" w:space="0" w:color="auto"/>
            <w:bottom w:val="none" w:sz="0" w:space="0" w:color="auto"/>
            <w:right w:val="none" w:sz="0" w:space="0" w:color="auto"/>
          </w:divBdr>
        </w:div>
      </w:divsChild>
    </w:div>
    <w:div w:id="602809528">
      <w:bodyDiv w:val="1"/>
      <w:marLeft w:val="0"/>
      <w:marRight w:val="0"/>
      <w:marTop w:val="0"/>
      <w:marBottom w:val="0"/>
      <w:divBdr>
        <w:top w:val="none" w:sz="0" w:space="0" w:color="auto"/>
        <w:left w:val="none" w:sz="0" w:space="0" w:color="auto"/>
        <w:bottom w:val="none" w:sz="0" w:space="0" w:color="auto"/>
        <w:right w:val="none" w:sz="0" w:space="0" w:color="auto"/>
      </w:divBdr>
      <w:divsChild>
        <w:div w:id="575088844">
          <w:marLeft w:val="446"/>
          <w:marRight w:val="0"/>
          <w:marTop w:val="200"/>
          <w:marBottom w:val="0"/>
          <w:divBdr>
            <w:top w:val="none" w:sz="0" w:space="0" w:color="auto"/>
            <w:left w:val="none" w:sz="0" w:space="0" w:color="auto"/>
            <w:bottom w:val="none" w:sz="0" w:space="0" w:color="auto"/>
            <w:right w:val="none" w:sz="0" w:space="0" w:color="auto"/>
          </w:divBdr>
        </w:div>
      </w:divsChild>
    </w:div>
    <w:div w:id="1094476975">
      <w:bodyDiv w:val="1"/>
      <w:marLeft w:val="0"/>
      <w:marRight w:val="0"/>
      <w:marTop w:val="0"/>
      <w:marBottom w:val="0"/>
      <w:divBdr>
        <w:top w:val="none" w:sz="0" w:space="0" w:color="auto"/>
        <w:left w:val="none" w:sz="0" w:space="0" w:color="auto"/>
        <w:bottom w:val="none" w:sz="0" w:space="0" w:color="auto"/>
        <w:right w:val="none" w:sz="0" w:space="0" w:color="auto"/>
      </w:divBdr>
      <w:divsChild>
        <w:div w:id="661278397">
          <w:marLeft w:val="547"/>
          <w:marRight w:val="0"/>
          <w:marTop w:val="0"/>
          <w:marBottom w:val="0"/>
          <w:divBdr>
            <w:top w:val="none" w:sz="0" w:space="0" w:color="auto"/>
            <w:left w:val="none" w:sz="0" w:space="0" w:color="auto"/>
            <w:bottom w:val="none" w:sz="0" w:space="0" w:color="auto"/>
            <w:right w:val="none" w:sz="0" w:space="0" w:color="auto"/>
          </w:divBdr>
        </w:div>
      </w:divsChild>
    </w:div>
    <w:div w:id="1114247011">
      <w:bodyDiv w:val="1"/>
      <w:marLeft w:val="0"/>
      <w:marRight w:val="0"/>
      <w:marTop w:val="0"/>
      <w:marBottom w:val="0"/>
      <w:divBdr>
        <w:top w:val="none" w:sz="0" w:space="0" w:color="auto"/>
        <w:left w:val="none" w:sz="0" w:space="0" w:color="auto"/>
        <w:bottom w:val="none" w:sz="0" w:space="0" w:color="auto"/>
        <w:right w:val="none" w:sz="0" w:space="0" w:color="auto"/>
      </w:divBdr>
    </w:div>
    <w:div w:id="1387291397">
      <w:bodyDiv w:val="1"/>
      <w:marLeft w:val="0"/>
      <w:marRight w:val="0"/>
      <w:marTop w:val="0"/>
      <w:marBottom w:val="0"/>
      <w:divBdr>
        <w:top w:val="none" w:sz="0" w:space="0" w:color="auto"/>
        <w:left w:val="none" w:sz="0" w:space="0" w:color="auto"/>
        <w:bottom w:val="none" w:sz="0" w:space="0" w:color="auto"/>
        <w:right w:val="none" w:sz="0" w:space="0" w:color="auto"/>
      </w:divBdr>
      <w:divsChild>
        <w:div w:id="1967005861">
          <w:marLeft w:val="446"/>
          <w:marRight w:val="0"/>
          <w:marTop w:val="200"/>
          <w:marBottom w:val="0"/>
          <w:divBdr>
            <w:top w:val="none" w:sz="0" w:space="0" w:color="auto"/>
            <w:left w:val="none" w:sz="0" w:space="0" w:color="auto"/>
            <w:bottom w:val="none" w:sz="0" w:space="0" w:color="auto"/>
            <w:right w:val="none" w:sz="0" w:space="0" w:color="auto"/>
          </w:divBdr>
        </w:div>
        <w:div w:id="1392197470">
          <w:marLeft w:val="446"/>
          <w:marRight w:val="0"/>
          <w:marTop w:val="200"/>
          <w:marBottom w:val="0"/>
          <w:divBdr>
            <w:top w:val="none" w:sz="0" w:space="0" w:color="auto"/>
            <w:left w:val="none" w:sz="0" w:space="0" w:color="auto"/>
            <w:bottom w:val="none" w:sz="0" w:space="0" w:color="auto"/>
            <w:right w:val="none" w:sz="0" w:space="0" w:color="auto"/>
          </w:divBdr>
        </w:div>
        <w:div w:id="540870584">
          <w:marLeft w:val="446"/>
          <w:marRight w:val="0"/>
          <w:marTop w:val="200"/>
          <w:marBottom w:val="0"/>
          <w:divBdr>
            <w:top w:val="none" w:sz="0" w:space="0" w:color="auto"/>
            <w:left w:val="none" w:sz="0" w:space="0" w:color="auto"/>
            <w:bottom w:val="none" w:sz="0" w:space="0" w:color="auto"/>
            <w:right w:val="none" w:sz="0" w:space="0" w:color="auto"/>
          </w:divBdr>
        </w:div>
        <w:div w:id="1414165644">
          <w:marLeft w:val="446"/>
          <w:marRight w:val="0"/>
          <w:marTop w:val="200"/>
          <w:marBottom w:val="0"/>
          <w:divBdr>
            <w:top w:val="none" w:sz="0" w:space="0" w:color="auto"/>
            <w:left w:val="none" w:sz="0" w:space="0" w:color="auto"/>
            <w:bottom w:val="none" w:sz="0" w:space="0" w:color="auto"/>
            <w:right w:val="none" w:sz="0" w:space="0" w:color="auto"/>
          </w:divBdr>
        </w:div>
        <w:div w:id="951475750">
          <w:marLeft w:val="446"/>
          <w:marRight w:val="0"/>
          <w:marTop w:val="200"/>
          <w:marBottom w:val="0"/>
          <w:divBdr>
            <w:top w:val="none" w:sz="0" w:space="0" w:color="auto"/>
            <w:left w:val="none" w:sz="0" w:space="0" w:color="auto"/>
            <w:bottom w:val="none" w:sz="0" w:space="0" w:color="auto"/>
            <w:right w:val="none" w:sz="0" w:space="0" w:color="auto"/>
          </w:divBdr>
        </w:div>
        <w:div w:id="2081095755">
          <w:marLeft w:val="446"/>
          <w:marRight w:val="0"/>
          <w:marTop w:val="200"/>
          <w:marBottom w:val="0"/>
          <w:divBdr>
            <w:top w:val="none" w:sz="0" w:space="0" w:color="auto"/>
            <w:left w:val="none" w:sz="0" w:space="0" w:color="auto"/>
            <w:bottom w:val="none" w:sz="0" w:space="0" w:color="auto"/>
            <w:right w:val="none" w:sz="0" w:space="0" w:color="auto"/>
          </w:divBdr>
        </w:div>
      </w:divsChild>
    </w:div>
    <w:div w:id="1677877166">
      <w:bodyDiv w:val="1"/>
      <w:marLeft w:val="0"/>
      <w:marRight w:val="0"/>
      <w:marTop w:val="0"/>
      <w:marBottom w:val="0"/>
      <w:divBdr>
        <w:top w:val="none" w:sz="0" w:space="0" w:color="auto"/>
        <w:left w:val="none" w:sz="0" w:space="0" w:color="auto"/>
        <w:bottom w:val="none" w:sz="0" w:space="0" w:color="auto"/>
        <w:right w:val="none" w:sz="0" w:space="0" w:color="auto"/>
      </w:divBdr>
      <w:divsChild>
        <w:div w:id="62879678">
          <w:marLeft w:val="360"/>
          <w:marRight w:val="0"/>
          <w:marTop w:val="200"/>
          <w:marBottom w:val="0"/>
          <w:divBdr>
            <w:top w:val="none" w:sz="0" w:space="0" w:color="auto"/>
            <w:left w:val="none" w:sz="0" w:space="0" w:color="auto"/>
            <w:bottom w:val="none" w:sz="0" w:space="0" w:color="auto"/>
            <w:right w:val="none" w:sz="0" w:space="0" w:color="auto"/>
          </w:divBdr>
        </w:div>
      </w:divsChild>
    </w:div>
    <w:div w:id="1689595908">
      <w:bodyDiv w:val="1"/>
      <w:marLeft w:val="0"/>
      <w:marRight w:val="0"/>
      <w:marTop w:val="0"/>
      <w:marBottom w:val="0"/>
      <w:divBdr>
        <w:top w:val="none" w:sz="0" w:space="0" w:color="auto"/>
        <w:left w:val="none" w:sz="0" w:space="0" w:color="auto"/>
        <w:bottom w:val="none" w:sz="0" w:space="0" w:color="auto"/>
        <w:right w:val="none" w:sz="0" w:space="0" w:color="auto"/>
      </w:divBdr>
      <w:divsChild>
        <w:div w:id="152840664">
          <w:marLeft w:val="547"/>
          <w:marRight w:val="0"/>
          <w:marTop w:val="0"/>
          <w:marBottom w:val="0"/>
          <w:divBdr>
            <w:top w:val="none" w:sz="0" w:space="0" w:color="auto"/>
            <w:left w:val="none" w:sz="0" w:space="0" w:color="auto"/>
            <w:bottom w:val="none" w:sz="0" w:space="0" w:color="auto"/>
            <w:right w:val="none" w:sz="0" w:space="0" w:color="auto"/>
          </w:divBdr>
        </w:div>
      </w:divsChild>
    </w:div>
    <w:div w:id="1699159126">
      <w:bodyDiv w:val="1"/>
      <w:marLeft w:val="0"/>
      <w:marRight w:val="0"/>
      <w:marTop w:val="0"/>
      <w:marBottom w:val="0"/>
      <w:divBdr>
        <w:top w:val="none" w:sz="0" w:space="0" w:color="auto"/>
        <w:left w:val="none" w:sz="0" w:space="0" w:color="auto"/>
        <w:bottom w:val="none" w:sz="0" w:space="0" w:color="auto"/>
        <w:right w:val="none" w:sz="0" w:space="0" w:color="auto"/>
      </w:divBdr>
      <w:divsChild>
        <w:div w:id="602349556">
          <w:marLeft w:val="360"/>
          <w:marRight w:val="0"/>
          <w:marTop w:val="200"/>
          <w:marBottom w:val="0"/>
          <w:divBdr>
            <w:top w:val="none" w:sz="0" w:space="0" w:color="auto"/>
            <w:left w:val="none" w:sz="0" w:space="0" w:color="auto"/>
            <w:bottom w:val="none" w:sz="0" w:space="0" w:color="auto"/>
            <w:right w:val="none" w:sz="0" w:space="0" w:color="auto"/>
          </w:divBdr>
        </w:div>
      </w:divsChild>
    </w:div>
    <w:div w:id="1907521822">
      <w:bodyDiv w:val="1"/>
      <w:marLeft w:val="0"/>
      <w:marRight w:val="0"/>
      <w:marTop w:val="0"/>
      <w:marBottom w:val="0"/>
      <w:divBdr>
        <w:top w:val="none" w:sz="0" w:space="0" w:color="auto"/>
        <w:left w:val="none" w:sz="0" w:space="0" w:color="auto"/>
        <w:bottom w:val="none" w:sz="0" w:space="0" w:color="auto"/>
        <w:right w:val="none" w:sz="0" w:space="0" w:color="auto"/>
      </w:divBdr>
      <w:divsChild>
        <w:div w:id="1914772819">
          <w:marLeft w:val="360"/>
          <w:marRight w:val="0"/>
          <w:marTop w:val="200"/>
          <w:marBottom w:val="0"/>
          <w:divBdr>
            <w:top w:val="none" w:sz="0" w:space="0" w:color="auto"/>
            <w:left w:val="none" w:sz="0" w:space="0" w:color="auto"/>
            <w:bottom w:val="none" w:sz="0" w:space="0" w:color="auto"/>
            <w:right w:val="none" w:sz="0" w:space="0" w:color="auto"/>
          </w:divBdr>
        </w:div>
        <w:div w:id="494733738">
          <w:marLeft w:val="360"/>
          <w:marRight w:val="0"/>
          <w:marTop w:val="200"/>
          <w:marBottom w:val="0"/>
          <w:divBdr>
            <w:top w:val="none" w:sz="0" w:space="0" w:color="auto"/>
            <w:left w:val="none" w:sz="0" w:space="0" w:color="auto"/>
            <w:bottom w:val="none" w:sz="0" w:space="0" w:color="auto"/>
            <w:right w:val="none" w:sz="0" w:space="0" w:color="auto"/>
          </w:divBdr>
        </w:div>
        <w:div w:id="1508902271">
          <w:marLeft w:val="360"/>
          <w:marRight w:val="0"/>
          <w:marTop w:val="200"/>
          <w:marBottom w:val="0"/>
          <w:divBdr>
            <w:top w:val="none" w:sz="0" w:space="0" w:color="auto"/>
            <w:left w:val="none" w:sz="0" w:space="0" w:color="auto"/>
            <w:bottom w:val="none" w:sz="0" w:space="0" w:color="auto"/>
            <w:right w:val="none" w:sz="0" w:space="0" w:color="auto"/>
          </w:divBdr>
        </w:div>
        <w:div w:id="670304168">
          <w:marLeft w:val="360"/>
          <w:marRight w:val="0"/>
          <w:marTop w:val="200"/>
          <w:marBottom w:val="0"/>
          <w:divBdr>
            <w:top w:val="none" w:sz="0" w:space="0" w:color="auto"/>
            <w:left w:val="none" w:sz="0" w:space="0" w:color="auto"/>
            <w:bottom w:val="none" w:sz="0" w:space="0" w:color="auto"/>
            <w:right w:val="none" w:sz="0" w:space="0" w:color="auto"/>
          </w:divBdr>
        </w:div>
        <w:div w:id="2033609021">
          <w:marLeft w:val="360"/>
          <w:marRight w:val="0"/>
          <w:marTop w:val="200"/>
          <w:marBottom w:val="0"/>
          <w:divBdr>
            <w:top w:val="none" w:sz="0" w:space="0" w:color="auto"/>
            <w:left w:val="none" w:sz="0" w:space="0" w:color="auto"/>
            <w:bottom w:val="none" w:sz="0" w:space="0" w:color="auto"/>
            <w:right w:val="none" w:sz="0" w:space="0" w:color="auto"/>
          </w:divBdr>
        </w:div>
      </w:divsChild>
    </w:div>
    <w:div w:id="1921980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martenergycodecompany.co.uk/modifications/dno-power-outage-aler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685C8-F546-4FB1-80A5-E949013C1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7</Pages>
  <Words>2157</Words>
  <Characters>12301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MP096 - Working Group meeting summary</vt:lpstr>
    </vt:vector>
  </TitlesOfParts>
  <Company>Gemserv</Company>
  <LinksUpToDate>false</LinksUpToDate>
  <CharactersWithSpaces>14430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MP096 - Working Group meeting summary</dc:title>
  <dc:creator>Bradley Baker</dc:creator>
  <cp:lastModifiedBy>Bradley Baker</cp:lastModifiedBy>
  <cp:revision>15</cp:revision>
  <cp:lastPrinted>2020-10-20T09:46:00Z</cp:lastPrinted>
  <dcterms:created xsi:type="dcterms:W3CDTF">2021-06-02T15:29:00Z</dcterms:created>
  <dcterms:modified xsi:type="dcterms:W3CDTF">2021-09-03T08:21:00Z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62f585-b40f-4ab9-bafe-39150f03d124_Enabled">
    <vt:lpwstr>true</vt:lpwstr>
  </property>
  <property fmtid="{D5CDD505-2E9C-101B-9397-08002B2CF9AE}" pid="3" name="MSIP_Label_ba62f585-b40f-4ab9-bafe-39150f03d124_SetDate">
    <vt:lpwstr>2021-04-15T09:50:04Z</vt:lpwstr>
  </property>
  <property fmtid="{D5CDD505-2E9C-101B-9397-08002B2CF9AE}" pid="4" name="MSIP_Label_ba62f585-b40f-4ab9-bafe-39150f03d124_Method">
    <vt:lpwstr>Standard</vt:lpwstr>
  </property>
  <property fmtid="{D5CDD505-2E9C-101B-9397-08002B2CF9AE}" pid="5" name="MSIP_Label_ba62f585-b40f-4ab9-bafe-39150f03d124_Name">
    <vt:lpwstr>OFFICIAL</vt:lpwstr>
  </property>
  <property fmtid="{D5CDD505-2E9C-101B-9397-08002B2CF9AE}" pid="6" name="MSIP_Label_ba62f585-b40f-4ab9-bafe-39150f03d124_SiteId">
    <vt:lpwstr>cbac7005-02c1-43eb-b497-e6492d1b2dd8</vt:lpwstr>
  </property>
  <property fmtid="{D5CDD505-2E9C-101B-9397-08002B2CF9AE}" pid="7" name="MSIP_Label_ba62f585-b40f-4ab9-bafe-39150f03d124_ActionId">
    <vt:lpwstr>f527d1c4-141e-4f1b-ad4e-a1a821d7d4ff</vt:lpwstr>
  </property>
  <property fmtid="{D5CDD505-2E9C-101B-9397-08002B2CF9AE}" pid="8" name="MSIP_Label_ba62f585-b40f-4ab9-bafe-39150f03d124_ContentBits">
    <vt:lpwstr>0</vt:lpwstr>
  </property>
</Properties>
</file>