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FD814" w14:textId="582C6BC0" w:rsidR="003423F3" w:rsidRDefault="003423F3" w:rsidP="003423F3">
      <w:pPr>
        <w:pStyle w:val="SECPaperTitle"/>
        <w:spacing w:before="0" w:after="240"/>
        <w:rPr>
          <w:sz w:val="30"/>
          <w:szCs w:val="30"/>
        </w:rPr>
      </w:pPr>
      <w:r>
        <w:rPr>
          <w:noProof/>
          <w:lang w:eastAsia="en-GB"/>
        </w:rPr>
        <mc:AlternateContent>
          <mc:Choice Requires="wps">
            <w:drawing>
              <wp:anchor distT="45720" distB="45720" distL="114300" distR="114300" simplePos="0" relativeHeight="251661312" behindDoc="0" locked="0" layoutInCell="1" allowOverlap="1" wp14:anchorId="471CF36B" wp14:editId="3CB33433">
                <wp:simplePos x="0" y="0"/>
                <wp:positionH relativeFrom="margin">
                  <wp:align>left</wp:align>
                </wp:positionH>
                <wp:positionV relativeFrom="paragraph">
                  <wp:posOffset>0</wp:posOffset>
                </wp:positionV>
                <wp:extent cx="5770880" cy="466725"/>
                <wp:effectExtent l="0" t="0" r="2032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466725"/>
                        </a:xfrm>
                        <a:prstGeom prst="rect">
                          <a:avLst/>
                        </a:prstGeom>
                        <a:solidFill>
                          <a:srgbClr val="FFFFFF"/>
                        </a:solidFill>
                        <a:ln w="9525">
                          <a:solidFill>
                            <a:srgbClr val="000000"/>
                          </a:solidFill>
                          <a:miter lim="800000"/>
                          <a:headEnd/>
                          <a:tailEnd/>
                        </a:ln>
                      </wps:spPr>
                      <wps:txbx>
                        <w:txbxContent>
                          <w:p w14:paraId="1839FB94" w14:textId="77777777" w:rsidR="003423F3" w:rsidRPr="001606E0" w:rsidRDefault="003423F3" w:rsidP="003423F3">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p w14:paraId="03752441" w14:textId="77777777" w:rsidR="003423F3" w:rsidRPr="003D092C" w:rsidRDefault="003423F3" w:rsidP="003423F3">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1CF36B" id="_x0000_t202" coordsize="21600,21600" o:spt="202" path="m,l,21600r21600,l21600,xe">
                <v:stroke joinstyle="miter"/>
                <v:path gradientshapeok="t" o:connecttype="rect"/>
              </v:shapetype>
              <v:shape id="Text Box 2" o:spid="_x0000_s1026" type="#_x0000_t202" style="position:absolute;left:0;text-align:left;margin-left:0;margin-top:0;width:454.4pt;height:36.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">
                <v:textbox>
                  <w:txbxContent>
                    <w:p w14:paraId="1839FB94" w14:textId="77777777" w:rsidR="003423F3" w:rsidRPr="001606E0" w:rsidRDefault="003423F3" w:rsidP="003423F3">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p w14:paraId="03752441" w14:textId="77777777" w:rsidR="003423F3" w:rsidRPr="003D092C" w:rsidRDefault="003423F3" w:rsidP="003423F3">
                      <w:pPr>
                        <w:rPr>
                          <w:sz w:val="24"/>
                        </w:rPr>
                      </w:pPr>
                    </w:p>
                  </w:txbxContent>
                </v:textbox>
                <w10:wrap type="square" anchorx="margin"/>
              </v:shape>
            </w:pict>
          </mc:Fallback>
        </mc:AlternateContent>
      </w:r>
      <w:r w:rsidR="00A1169C">
        <w:rPr>
          <w:noProof/>
          <w:lang w:eastAsia="en-GB"/>
        </w:rPr>
        <w:t>MP</w:t>
      </w:r>
      <w:r w:rsidR="004D3C8F">
        <w:rPr>
          <w:noProof/>
          <w:lang w:eastAsia="en-GB"/>
        </w:rPr>
        <w:t>1</w:t>
      </w:r>
      <w:r w:rsidR="009E20CC">
        <w:rPr>
          <w:noProof/>
          <w:lang w:eastAsia="en-GB"/>
        </w:rPr>
        <w:t>16</w:t>
      </w:r>
      <w:r>
        <w:rPr>
          <w:sz w:val="30"/>
          <w:szCs w:val="30"/>
        </w:rPr>
        <w:t xml:space="preserve"> ‘</w:t>
      </w:r>
      <w:r w:rsidR="009E20CC">
        <w:rPr>
          <w:sz w:val="30"/>
          <w:szCs w:val="30"/>
        </w:rPr>
        <w:t>Service Request Forecasting</w:t>
      </w:r>
      <w:r w:rsidR="00A1169C">
        <w:rPr>
          <w:sz w:val="30"/>
          <w:szCs w:val="30"/>
        </w:rPr>
        <w:t>’</w:t>
      </w:r>
    </w:p>
    <w:p w14:paraId="4AF16256" w14:textId="3C6557D6" w:rsidR="00B13710" w:rsidRDefault="00913553" w:rsidP="00B13710">
      <w:pPr>
        <w:pStyle w:val="SECPaperTitle"/>
        <w:spacing w:before="0" w:after="240"/>
        <w:rPr>
          <w:sz w:val="30"/>
          <w:szCs w:val="30"/>
        </w:rPr>
      </w:pPr>
      <w:r>
        <w:rPr>
          <w:sz w:val="30"/>
          <w:szCs w:val="30"/>
        </w:rPr>
        <w:t>Ju</w:t>
      </w:r>
      <w:r w:rsidR="00B63825">
        <w:rPr>
          <w:sz w:val="30"/>
          <w:szCs w:val="30"/>
        </w:rPr>
        <w:t>ly</w:t>
      </w:r>
      <w:r w:rsidR="003B12CA">
        <w:rPr>
          <w:sz w:val="30"/>
          <w:szCs w:val="30"/>
        </w:rPr>
        <w:t xml:space="preserve"> 2021</w:t>
      </w:r>
      <w:r w:rsidR="00B13710">
        <w:rPr>
          <w:sz w:val="30"/>
          <w:szCs w:val="30"/>
        </w:rPr>
        <w:t xml:space="preserve"> </w:t>
      </w:r>
      <w:r w:rsidR="003423F3">
        <w:rPr>
          <w:sz w:val="30"/>
          <w:szCs w:val="30"/>
        </w:rPr>
        <w:t xml:space="preserve">Working Group </w:t>
      </w:r>
      <w:r w:rsidR="000C423C">
        <w:rPr>
          <w:sz w:val="30"/>
          <w:szCs w:val="30"/>
        </w:rPr>
        <w:t xml:space="preserve">– </w:t>
      </w:r>
      <w:r w:rsidR="002A76CA">
        <w:rPr>
          <w:sz w:val="30"/>
          <w:szCs w:val="30"/>
        </w:rPr>
        <w:t>me</w:t>
      </w:r>
      <w:r w:rsidR="003423F3" w:rsidRPr="008E76FA">
        <w:rPr>
          <w:sz w:val="30"/>
          <w:szCs w:val="30"/>
        </w:rPr>
        <w:t>eting</w:t>
      </w:r>
      <w:r w:rsidR="002A76CA">
        <w:rPr>
          <w:sz w:val="30"/>
          <w:szCs w:val="30"/>
        </w:rPr>
        <w:t xml:space="preserve"> </w:t>
      </w:r>
      <w:proofErr w:type="gramStart"/>
      <w:r w:rsidR="002A76CA">
        <w:rPr>
          <w:sz w:val="30"/>
          <w:szCs w:val="30"/>
        </w:rPr>
        <w:t>summary</w:t>
      </w:r>
      <w:proofErr w:type="gramEnd"/>
    </w:p>
    <w:p w14:paraId="29566CD0" w14:textId="14EC3D2A" w:rsidR="00564EBA" w:rsidRDefault="00564EBA" w:rsidP="00F556BC">
      <w:pPr>
        <w:pStyle w:val="Subtitle"/>
      </w:pPr>
      <w:r>
        <w:t>Attendees</w:t>
      </w:r>
    </w:p>
    <w:tbl>
      <w:tblPr>
        <w:tblStyle w:val="TableGrid11"/>
        <w:tblW w:w="2906" w:type="pct"/>
        <w:jc w:val="center"/>
        <w:tblInd w:w="0" w:type="dxa"/>
        <w:tblLook w:val="04A0" w:firstRow="1" w:lastRow="0" w:firstColumn="1" w:lastColumn="0" w:noHBand="0" w:noVBand="1"/>
      </w:tblPr>
      <w:tblGrid>
        <w:gridCol w:w="2620"/>
        <w:gridCol w:w="2620"/>
      </w:tblGrid>
      <w:tr w:rsidR="004E42D4" w14:paraId="55232B3B" w14:textId="77777777" w:rsidTr="00C27C3D">
        <w:trPr>
          <w:trHeight w:val="514"/>
          <w:jc w:val="center"/>
        </w:trPr>
        <w:tc>
          <w:tcPr>
            <w:tcW w:w="2500" w:type="pct"/>
            <w:tcBorders>
              <w:top w:val="single" w:sz="4" w:space="0" w:color="auto"/>
              <w:left w:val="single" w:sz="4" w:space="0" w:color="auto"/>
              <w:bottom w:val="single" w:sz="4" w:space="0" w:color="auto"/>
              <w:right w:val="single" w:sz="4" w:space="0" w:color="auto"/>
            </w:tcBorders>
            <w:shd w:val="clear" w:color="auto" w:fill="17A800"/>
            <w:vAlign w:val="center"/>
            <w:hideMark/>
          </w:tcPr>
          <w:p w14:paraId="1E8CCED9" w14:textId="77777777" w:rsidR="004E42D4" w:rsidRDefault="004E42D4" w:rsidP="00C27C3D">
            <w:pPr>
              <w:jc w:val="center"/>
              <w:rPr>
                <w:rFonts w:cs="Arial"/>
                <w:b/>
                <w:color w:val="FFFFFF"/>
                <w:lang w:eastAsia="en-GB"/>
              </w:rPr>
            </w:pPr>
            <w:r>
              <w:rPr>
                <w:rFonts w:cs="Arial"/>
                <w:b/>
                <w:color w:val="FFFFFF"/>
                <w:lang w:eastAsia="en-GB"/>
              </w:rPr>
              <w:t>Attendee</w:t>
            </w:r>
          </w:p>
        </w:tc>
        <w:tc>
          <w:tcPr>
            <w:tcW w:w="2500" w:type="pct"/>
            <w:tcBorders>
              <w:top w:val="single" w:sz="4" w:space="0" w:color="auto"/>
              <w:left w:val="single" w:sz="4" w:space="0" w:color="auto"/>
              <w:bottom w:val="single" w:sz="4" w:space="0" w:color="auto"/>
              <w:right w:val="single" w:sz="4" w:space="0" w:color="auto"/>
            </w:tcBorders>
            <w:shd w:val="clear" w:color="auto" w:fill="17A800"/>
            <w:vAlign w:val="center"/>
            <w:hideMark/>
          </w:tcPr>
          <w:p w14:paraId="1AE81966" w14:textId="77777777" w:rsidR="004E42D4" w:rsidRDefault="004E42D4" w:rsidP="00C27C3D">
            <w:pPr>
              <w:jc w:val="center"/>
              <w:rPr>
                <w:rFonts w:cs="Arial"/>
                <w:b/>
                <w:color w:val="FFFFFF"/>
                <w:lang w:eastAsia="en-GB"/>
              </w:rPr>
            </w:pPr>
            <w:r>
              <w:rPr>
                <w:rFonts w:cs="Arial"/>
                <w:b/>
                <w:color w:val="FFFFFF"/>
                <w:lang w:eastAsia="en-GB"/>
              </w:rPr>
              <w:t>Organisation</w:t>
            </w:r>
          </w:p>
        </w:tc>
      </w:tr>
      <w:tr w:rsidR="004E42D4" w14:paraId="23E648CF"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hideMark/>
          </w:tcPr>
          <w:p w14:paraId="413E53B8" w14:textId="77777777" w:rsidR="004E42D4" w:rsidRPr="001B4EC6" w:rsidRDefault="004E42D4" w:rsidP="00C27C3D">
            <w:pPr>
              <w:spacing w:before="30" w:after="30"/>
              <w:rPr>
                <w:rFonts w:eastAsia="Calibri" w:cs="Arial"/>
                <w:color w:val="404040"/>
                <w:szCs w:val="20"/>
                <w:lang w:eastAsia="en-GB"/>
              </w:rPr>
            </w:pPr>
            <w:r w:rsidRPr="001B4EC6">
              <w:rPr>
                <w:rFonts w:eastAsia="Calibri" w:cs="Arial"/>
                <w:color w:val="404040"/>
                <w:szCs w:val="20"/>
                <w:lang w:eastAsia="en-GB"/>
              </w:rPr>
              <w:t>Ali Beard</w:t>
            </w:r>
          </w:p>
        </w:tc>
        <w:tc>
          <w:tcPr>
            <w:tcW w:w="2500" w:type="pct"/>
            <w:tcBorders>
              <w:top w:val="single" w:sz="4" w:space="0" w:color="auto"/>
              <w:left w:val="single" w:sz="4" w:space="0" w:color="auto"/>
              <w:bottom w:val="single" w:sz="4" w:space="0" w:color="auto"/>
              <w:right w:val="single" w:sz="4" w:space="0" w:color="auto"/>
            </w:tcBorders>
            <w:hideMark/>
          </w:tcPr>
          <w:p w14:paraId="0F1E9928" w14:textId="77777777" w:rsidR="004E42D4" w:rsidRPr="001B4EC6" w:rsidRDefault="004E42D4" w:rsidP="00C27C3D">
            <w:pPr>
              <w:spacing w:before="30" w:after="30"/>
              <w:rPr>
                <w:rFonts w:eastAsia="Calibri" w:cs="Times New Roman"/>
                <w:color w:val="404040"/>
                <w:lang w:eastAsia="en-GB"/>
              </w:rPr>
            </w:pPr>
            <w:r w:rsidRPr="001B4EC6">
              <w:rPr>
                <w:rFonts w:eastAsia="Calibri" w:cs="Times New Roman"/>
                <w:color w:val="404040"/>
                <w:lang w:eastAsia="en-GB"/>
              </w:rPr>
              <w:t>SECAS</w:t>
            </w:r>
          </w:p>
        </w:tc>
      </w:tr>
      <w:tr w:rsidR="004E42D4" w14:paraId="5EF3B381"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hideMark/>
          </w:tcPr>
          <w:p w14:paraId="5483E64B" w14:textId="77777777" w:rsidR="004E42D4" w:rsidRPr="001B4EC6" w:rsidRDefault="004E42D4" w:rsidP="00C27C3D">
            <w:pPr>
              <w:spacing w:before="30" w:after="30"/>
              <w:rPr>
                <w:rFonts w:eastAsia="Calibri" w:cs="Arial"/>
                <w:color w:val="404040"/>
                <w:szCs w:val="20"/>
                <w:lang w:eastAsia="en-GB"/>
              </w:rPr>
            </w:pPr>
            <w:r w:rsidRPr="001B4EC6">
              <w:rPr>
                <w:rFonts w:eastAsia="Calibri" w:cs="Arial"/>
                <w:color w:val="404040"/>
                <w:szCs w:val="20"/>
                <w:lang w:eastAsia="en-GB"/>
              </w:rPr>
              <w:t>Holly Burton</w:t>
            </w:r>
          </w:p>
        </w:tc>
        <w:tc>
          <w:tcPr>
            <w:tcW w:w="2500" w:type="pct"/>
            <w:tcBorders>
              <w:top w:val="single" w:sz="4" w:space="0" w:color="auto"/>
              <w:left w:val="single" w:sz="4" w:space="0" w:color="auto"/>
              <w:bottom w:val="single" w:sz="4" w:space="0" w:color="auto"/>
              <w:right w:val="single" w:sz="4" w:space="0" w:color="auto"/>
            </w:tcBorders>
            <w:hideMark/>
          </w:tcPr>
          <w:p w14:paraId="6326B4D1" w14:textId="77777777" w:rsidR="004E42D4" w:rsidRPr="001B4EC6" w:rsidRDefault="004E42D4" w:rsidP="00C27C3D">
            <w:pPr>
              <w:spacing w:before="30" w:after="30"/>
              <w:rPr>
                <w:rFonts w:eastAsia="Calibri" w:cs="Times New Roman"/>
                <w:color w:val="404040"/>
                <w:lang w:eastAsia="en-GB"/>
              </w:rPr>
            </w:pPr>
            <w:r w:rsidRPr="001B4EC6">
              <w:rPr>
                <w:rFonts w:eastAsia="Calibri" w:cs="Times New Roman"/>
                <w:color w:val="404040"/>
                <w:lang w:eastAsia="en-GB"/>
              </w:rPr>
              <w:t>SECAS</w:t>
            </w:r>
          </w:p>
        </w:tc>
      </w:tr>
      <w:tr w:rsidR="004E42D4" w14:paraId="4CFD9B26"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hideMark/>
          </w:tcPr>
          <w:p w14:paraId="463A4630" w14:textId="5A1A9D53" w:rsidR="004E42D4" w:rsidRPr="001B4EC6" w:rsidRDefault="00A1462C" w:rsidP="00C27C3D">
            <w:pPr>
              <w:spacing w:before="30" w:after="30"/>
              <w:rPr>
                <w:rFonts w:cs="Arial"/>
                <w:color w:val="404040"/>
                <w:szCs w:val="20"/>
                <w:lang w:eastAsia="en-GB"/>
              </w:rPr>
            </w:pPr>
            <w:r w:rsidRPr="001B4EC6">
              <w:rPr>
                <w:rFonts w:cs="Arial"/>
                <w:color w:val="404040"/>
                <w:szCs w:val="20"/>
                <w:lang w:eastAsia="en-GB"/>
              </w:rPr>
              <w:t>Mike Fenn</w:t>
            </w:r>
          </w:p>
        </w:tc>
        <w:tc>
          <w:tcPr>
            <w:tcW w:w="2500" w:type="pct"/>
            <w:tcBorders>
              <w:top w:val="single" w:sz="4" w:space="0" w:color="auto"/>
              <w:left w:val="single" w:sz="4" w:space="0" w:color="auto"/>
              <w:bottom w:val="single" w:sz="4" w:space="0" w:color="auto"/>
              <w:right w:val="single" w:sz="4" w:space="0" w:color="auto"/>
            </w:tcBorders>
            <w:hideMark/>
          </w:tcPr>
          <w:p w14:paraId="44A36F9C" w14:textId="77777777" w:rsidR="004E42D4" w:rsidRPr="001B4EC6" w:rsidRDefault="004E42D4" w:rsidP="00C27C3D">
            <w:pPr>
              <w:spacing w:before="30" w:after="30"/>
              <w:rPr>
                <w:rFonts w:cs="Times New Roman"/>
                <w:color w:val="404040"/>
                <w:lang w:eastAsia="en-GB"/>
              </w:rPr>
            </w:pPr>
            <w:r w:rsidRPr="001B4EC6">
              <w:rPr>
                <w:rFonts w:cs="Times New Roman"/>
                <w:color w:val="404040"/>
                <w:lang w:eastAsia="en-GB"/>
              </w:rPr>
              <w:t>SECAS</w:t>
            </w:r>
          </w:p>
        </w:tc>
      </w:tr>
      <w:tr w:rsidR="004E42D4" w14:paraId="0CE95C11"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hideMark/>
          </w:tcPr>
          <w:p w14:paraId="3835D4BA" w14:textId="77777777" w:rsidR="004E42D4" w:rsidRPr="001B4EC6" w:rsidRDefault="004E42D4" w:rsidP="00C27C3D">
            <w:pPr>
              <w:spacing w:before="30" w:after="30"/>
              <w:rPr>
                <w:rFonts w:cs="Arial"/>
                <w:color w:val="404040"/>
                <w:szCs w:val="20"/>
                <w:lang w:eastAsia="en-GB"/>
              </w:rPr>
            </w:pPr>
            <w:r w:rsidRPr="001B4EC6">
              <w:rPr>
                <w:rFonts w:cs="Arial"/>
                <w:color w:val="404040"/>
                <w:szCs w:val="20"/>
                <w:lang w:eastAsia="en-GB"/>
              </w:rPr>
              <w:t>Bradley Baker</w:t>
            </w:r>
          </w:p>
        </w:tc>
        <w:tc>
          <w:tcPr>
            <w:tcW w:w="2500" w:type="pct"/>
            <w:tcBorders>
              <w:top w:val="single" w:sz="4" w:space="0" w:color="auto"/>
              <w:left w:val="single" w:sz="4" w:space="0" w:color="auto"/>
              <w:bottom w:val="single" w:sz="4" w:space="0" w:color="auto"/>
              <w:right w:val="single" w:sz="4" w:space="0" w:color="auto"/>
            </w:tcBorders>
            <w:hideMark/>
          </w:tcPr>
          <w:p w14:paraId="042EA7D5" w14:textId="77777777" w:rsidR="004E42D4" w:rsidRPr="001B4EC6" w:rsidRDefault="004E42D4" w:rsidP="00C27C3D">
            <w:pPr>
              <w:spacing w:before="30" w:after="30"/>
              <w:rPr>
                <w:rFonts w:cs="Times New Roman"/>
                <w:color w:val="404040"/>
                <w:lang w:eastAsia="en-GB"/>
              </w:rPr>
            </w:pPr>
            <w:r w:rsidRPr="001B4EC6">
              <w:rPr>
                <w:rFonts w:cs="Times New Roman"/>
                <w:color w:val="404040"/>
                <w:lang w:eastAsia="en-GB"/>
              </w:rPr>
              <w:t>SECAS</w:t>
            </w:r>
          </w:p>
        </w:tc>
      </w:tr>
      <w:tr w:rsidR="004E42D4" w14:paraId="1D5FE627"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6F7DA8CD" w14:textId="77777777" w:rsidR="004E42D4" w:rsidRPr="001B4EC6" w:rsidRDefault="004E42D4" w:rsidP="00C27C3D">
            <w:pPr>
              <w:spacing w:before="30" w:after="30"/>
              <w:rPr>
                <w:rFonts w:cs="Arial"/>
                <w:color w:val="404040"/>
                <w:szCs w:val="20"/>
                <w:lang w:eastAsia="en-GB"/>
              </w:rPr>
            </w:pPr>
            <w:r w:rsidRPr="001B4EC6">
              <w:rPr>
                <w:rFonts w:cs="Arial"/>
                <w:color w:val="404040"/>
                <w:szCs w:val="20"/>
                <w:lang w:eastAsia="en-GB"/>
              </w:rPr>
              <w:t>Joe Hehir</w:t>
            </w:r>
          </w:p>
        </w:tc>
        <w:tc>
          <w:tcPr>
            <w:tcW w:w="2500" w:type="pct"/>
            <w:tcBorders>
              <w:top w:val="single" w:sz="4" w:space="0" w:color="auto"/>
              <w:left w:val="single" w:sz="4" w:space="0" w:color="auto"/>
              <w:bottom w:val="single" w:sz="4" w:space="0" w:color="auto"/>
              <w:right w:val="single" w:sz="4" w:space="0" w:color="auto"/>
            </w:tcBorders>
          </w:tcPr>
          <w:p w14:paraId="42C1BC41" w14:textId="77777777" w:rsidR="004E42D4" w:rsidRPr="001B4EC6" w:rsidRDefault="004E42D4" w:rsidP="00C27C3D">
            <w:pPr>
              <w:spacing w:before="30" w:after="30"/>
              <w:rPr>
                <w:rFonts w:cs="Times New Roman"/>
                <w:color w:val="404040"/>
                <w:lang w:eastAsia="en-GB"/>
              </w:rPr>
            </w:pPr>
            <w:r w:rsidRPr="001B4EC6">
              <w:rPr>
                <w:rFonts w:cs="Times New Roman"/>
                <w:color w:val="404040"/>
                <w:lang w:eastAsia="en-GB"/>
              </w:rPr>
              <w:t>SECAS</w:t>
            </w:r>
          </w:p>
        </w:tc>
      </w:tr>
      <w:tr w:rsidR="004E42D4" w14:paraId="3216942B"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hideMark/>
          </w:tcPr>
          <w:p w14:paraId="030D2629" w14:textId="77777777" w:rsidR="004E42D4" w:rsidRPr="001B4EC6" w:rsidRDefault="004E42D4" w:rsidP="00C27C3D">
            <w:pPr>
              <w:spacing w:before="30" w:after="30"/>
              <w:rPr>
                <w:rFonts w:cs="Arial"/>
                <w:color w:val="404040"/>
                <w:szCs w:val="20"/>
                <w:lang w:eastAsia="en-GB"/>
              </w:rPr>
            </w:pPr>
            <w:r w:rsidRPr="001B4EC6">
              <w:rPr>
                <w:rFonts w:cs="Arial"/>
                <w:color w:val="404040"/>
                <w:szCs w:val="20"/>
                <w:lang w:eastAsia="en-GB"/>
              </w:rPr>
              <w:t>Kev Duddy</w:t>
            </w:r>
          </w:p>
        </w:tc>
        <w:tc>
          <w:tcPr>
            <w:tcW w:w="2500" w:type="pct"/>
            <w:tcBorders>
              <w:top w:val="single" w:sz="4" w:space="0" w:color="auto"/>
              <w:left w:val="single" w:sz="4" w:space="0" w:color="auto"/>
              <w:bottom w:val="single" w:sz="4" w:space="0" w:color="auto"/>
              <w:right w:val="single" w:sz="4" w:space="0" w:color="auto"/>
            </w:tcBorders>
            <w:hideMark/>
          </w:tcPr>
          <w:p w14:paraId="2A7DAB04" w14:textId="77777777" w:rsidR="004E42D4" w:rsidRPr="001B4EC6" w:rsidRDefault="004E42D4" w:rsidP="00C27C3D">
            <w:pPr>
              <w:spacing w:before="30" w:after="30"/>
              <w:rPr>
                <w:rFonts w:cs="Times New Roman"/>
                <w:color w:val="404040"/>
                <w:lang w:eastAsia="en-GB"/>
              </w:rPr>
            </w:pPr>
            <w:r w:rsidRPr="001B4EC6">
              <w:rPr>
                <w:rFonts w:cs="Times New Roman"/>
                <w:color w:val="404040"/>
                <w:lang w:eastAsia="en-GB"/>
              </w:rPr>
              <w:t>SECAS</w:t>
            </w:r>
          </w:p>
        </w:tc>
      </w:tr>
      <w:tr w:rsidR="004E42D4" w14:paraId="1B9E8092"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273F0CB1" w14:textId="77777777" w:rsidR="004E42D4" w:rsidRPr="001B4EC6" w:rsidRDefault="004E42D4" w:rsidP="00C27C3D">
            <w:pPr>
              <w:spacing w:before="30" w:after="30"/>
              <w:rPr>
                <w:rFonts w:cs="Arial"/>
                <w:color w:val="404040"/>
                <w:szCs w:val="20"/>
                <w:lang w:eastAsia="en-GB"/>
              </w:rPr>
            </w:pPr>
            <w:r w:rsidRPr="001B4EC6">
              <w:rPr>
                <w:rFonts w:cs="Arial"/>
                <w:color w:val="404040"/>
                <w:szCs w:val="20"/>
                <w:lang w:eastAsia="en-GB"/>
              </w:rPr>
              <w:t>Piers Garton</w:t>
            </w:r>
          </w:p>
        </w:tc>
        <w:tc>
          <w:tcPr>
            <w:tcW w:w="2500" w:type="pct"/>
            <w:tcBorders>
              <w:top w:val="single" w:sz="4" w:space="0" w:color="auto"/>
              <w:left w:val="single" w:sz="4" w:space="0" w:color="auto"/>
              <w:bottom w:val="single" w:sz="4" w:space="0" w:color="auto"/>
              <w:right w:val="single" w:sz="4" w:space="0" w:color="auto"/>
            </w:tcBorders>
          </w:tcPr>
          <w:p w14:paraId="38D69853" w14:textId="77777777" w:rsidR="004E42D4" w:rsidRPr="001B4EC6" w:rsidRDefault="004E42D4" w:rsidP="00C27C3D">
            <w:pPr>
              <w:spacing w:before="30" w:after="30"/>
              <w:rPr>
                <w:rFonts w:cs="Times New Roman"/>
                <w:color w:val="404040"/>
                <w:lang w:eastAsia="en-GB"/>
              </w:rPr>
            </w:pPr>
            <w:r w:rsidRPr="001B4EC6">
              <w:rPr>
                <w:rFonts w:cs="Times New Roman"/>
                <w:color w:val="404040"/>
                <w:lang w:eastAsia="en-GB"/>
              </w:rPr>
              <w:t>SECAS</w:t>
            </w:r>
          </w:p>
        </w:tc>
      </w:tr>
      <w:tr w:rsidR="004E42D4" w14:paraId="038441B6"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hideMark/>
          </w:tcPr>
          <w:p w14:paraId="2AB72167" w14:textId="77777777" w:rsidR="004E42D4" w:rsidRPr="001B4EC6" w:rsidRDefault="004E42D4" w:rsidP="00C27C3D">
            <w:pPr>
              <w:spacing w:before="30" w:after="30"/>
              <w:rPr>
                <w:rFonts w:cs="Arial"/>
                <w:color w:val="404040"/>
                <w:szCs w:val="20"/>
                <w:lang w:eastAsia="en-GB"/>
              </w:rPr>
            </w:pPr>
            <w:r w:rsidRPr="001B4EC6">
              <w:rPr>
                <w:rFonts w:cs="Arial"/>
                <w:color w:val="404040"/>
                <w:szCs w:val="20"/>
                <w:lang w:eastAsia="en-GB"/>
              </w:rPr>
              <w:t xml:space="preserve">Joey Manners </w:t>
            </w:r>
          </w:p>
        </w:tc>
        <w:tc>
          <w:tcPr>
            <w:tcW w:w="2500" w:type="pct"/>
            <w:tcBorders>
              <w:top w:val="single" w:sz="4" w:space="0" w:color="auto"/>
              <w:left w:val="single" w:sz="4" w:space="0" w:color="auto"/>
              <w:bottom w:val="single" w:sz="4" w:space="0" w:color="auto"/>
              <w:right w:val="single" w:sz="4" w:space="0" w:color="auto"/>
            </w:tcBorders>
            <w:hideMark/>
          </w:tcPr>
          <w:p w14:paraId="4E894761" w14:textId="77777777" w:rsidR="004E42D4" w:rsidRPr="001B4EC6" w:rsidRDefault="004E42D4" w:rsidP="00C27C3D">
            <w:pPr>
              <w:spacing w:before="30" w:after="30"/>
              <w:rPr>
                <w:rFonts w:cs="Times New Roman"/>
                <w:color w:val="404040"/>
                <w:lang w:eastAsia="en-GB"/>
              </w:rPr>
            </w:pPr>
            <w:r w:rsidRPr="001B4EC6">
              <w:rPr>
                <w:rFonts w:cs="Times New Roman"/>
                <w:color w:val="404040"/>
                <w:lang w:eastAsia="en-GB"/>
              </w:rPr>
              <w:t>SECAS</w:t>
            </w:r>
          </w:p>
        </w:tc>
      </w:tr>
      <w:tr w:rsidR="00A1462C" w14:paraId="2FAE5206"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2A17CC9D" w14:textId="5399CBFB" w:rsidR="00A1462C" w:rsidRPr="001B4EC6" w:rsidRDefault="00A1462C" w:rsidP="00C27C3D">
            <w:pPr>
              <w:spacing w:before="30" w:after="30"/>
              <w:rPr>
                <w:rFonts w:cs="Arial"/>
                <w:color w:val="404040"/>
                <w:szCs w:val="20"/>
                <w:lang w:eastAsia="en-GB"/>
              </w:rPr>
            </w:pPr>
            <w:r w:rsidRPr="001B4EC6">
              <w:rPr>
                <w:rFonts w:cs="Arial"/>
                <w:color w:val="404040"/>
                <w:szCs w:val="20"/>
                <w:lang w:eastAsia="en-GB"/>
              </w:rPr>
              <w:t>Anik Abdullah</w:t>
            </w:r>
          </w:p>
        </w:tc>
        <w:tc>
          <w:tcPr>
            <w:tcW w:w="2500" w:type="pct"/>
            <w:tcBorders>
              <w:top w:val="single" w:sz="4" w:space="0" w:color="auto"/>
              <w:left w:val="single" w:sz="4" w:space="0" w:color="auto"/>
              <w:bottom w:val="single" w:sz="4" w:space="0" w:color="auto"/>
              <w:right w:val="single" w:sz="4" w:space="0" w:color="auto"/>
            </w:tcBorders>
          </w:tcPr>
          <w:p w14:paraId="6E117B26" w14:textId="410EC064" w:rsidR="00A1462C" w:rsidRPr="001B4EC6" w:rsidRDefault="00A1462C" w:rsidP="00C27C3D">
            <w:pPr>
              <w:spacing w:before="30" w:after="30"/>
              <w:rPr>
                <w:rFonts w:cs="Times New Roman"/>
                <w:color w:val="404040"/>
                <w:lang w:eastAsia="en-GB"/>
              </w:rPr>
            </w:pPr>
            <w:r w:rsidRPr="001B4EC6">
              <w:rPr>
                <w:rFonts w:cs="Times New Roman"/>
                <w:color w:val="404040"/>
                <w:lang w:eastAsia="en-GB"/>
              </w:rPr>
              <w:t>SECAS</w:t>
            </w:r>
          </w:p>
        </w:tc>
      </w:tr>
      <w:tr w:rsidR="004E42D4" w14:paraId="7657D71D"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hideMark/>
          </w:tcPr>
          <w:p w14:paraId="03D9A50F" w14:textId="372B326E" w:rsidR="004E42D4" w:rsidRPr="001B4EC6" w:rsidRDefault="00A1462C" w:rsidP="00C27C3D">
            <w:pPr>
              <w:spacing w:before="30" w:after="30"/>
              <w:rPr>
                <w:rFonts w:cs="Arial"/>
                <w:color w:val="404040"/>
                <w:szCs w:val="20"/>
                <w:lang w:eastAsia="en-GB"/>
              </w:rPr>
            </w:pPr>
            <w:r w:rsidRPr="001B4EC6">
              <w:rPr>
                <w:rFonts w:cs="Arial"/>
                <w:color w:val="404040"/>
                <w:szCs w:val="20"/>
                <w:lang w:eastAsia="en-GB"/>
              </w:rPr>
              <w:t>Graeme Liggett</w:t>
            </w:r>
          </w:p>
        </w:tc>
        <w:tc>
          <w:tcPr>
            <w:tcW w:w="2500" w:type="pct"/>
            <w:tcBorders>
              <w:top w:val="single" w:sz="4" w:space="0" w:color="auto"/>
              <w:left w:val="single" w:sz="4" w:space="0" w:color="auto"/>
              <w:bottom w:val="single" w:sz="4" w:space="0" w:color="auto"/>
              <w:right w:val="single" w:sz="4" w:space="0" w:color="auto"/>
            </w:tcBorders>
            <w:hideMark/>
          </w:tcPr>
          <w:p w14:paraId="4F9DDDEE" w14:textId="77777777" w:rsidR="004E42D4" w:rsidRPr="001B4EC6" w:rsidRDefault="004E42D4" w:rsidP="00C27C3D">
            <w:pPr>
              <w:spacing w:before="30" w:after="30"/>
              <w:rPr>
                <w:rFonts w:cs="Times New Roman"/>
                <w:color w:val="404040"/>
                <w:lang w:eastAsia="en-GB"/>
              </w:rPr>
            </w:pPr>
            <w:r w:rsidRPr="001B4EC6">
              <w:rPr>
                <w:rFonts w:cs="Times New Roman"/>
                <w:color w:val="404040"/>
                <w:lang w:eastAsia="en-GB"/>
              </w:rPr>
              <w:t>DCC</w:t>
            </w:r>
          </w:p>
        </w:tc>
      </w:tr>
      <w:tr w:rsidR="004E42D4" w14:paraId="40CF508A"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hideMark/>
          </w:tcPr>
          <w:p w14:paraId="22E463B4" w14:textId="77777777" w:rsidR="004E42D4" w:rsidRPr="001B4EC6" w:rsidRDefault="004E42D4" w:rsidP="00C27C3D">
            <w:pPr>
              <w:spacing w:before="30" w:after="30"/>
              <w:rPr>
                <w:rFonts w:cs="Arial"/>
                <w:color w:val="404040"/>
                <w:szCs w:val="20"/>
                <w:lang w:eastAsia="en-GB"/>
              </w:rPr>
            </w:pPr>
            <w:r w:rsidRPr="001B4EC6">
              <w:rPr>
                <w:rFonts w:cs="Arial"/>
                <w:color w:val="404040"/>
                <w:szCs w:val="20"/>
                <w:lang w:eastAsia="en-GB"/>
              </w:rPr>
              <w:t>Remi Oluwabamise</w:t>
            </w:r>
          </w:p>
        </w:tc>
        <w:tc>
          <w:tcPr>
            <w:tcW w:w="2500" w:type="pct"/>
            <w:tcBorders>
              <w:top w:val="single" w:sz="4" w:space="0" w:color="auto"/>
              <w:left w:val="single" w:sz="4" w:space="0" w:color="auto"/>
              <w:bottom w:val="single" w:sz="4" w:space="0" w:color="auto"/>
              <w:right w:val="single" w:sz="4" w:space="0" w:color="auto"/>
            </w:tcBorders>
            <w:hideMark/>
          </w:tcPr>
          <w:p w14:paraId="2ED1C716" w14:textId="77777777" w:rsidR="004E42D4" w:rsidRPr="001B4EC6" w:rsidRDefault="004E42D4" w:rsidP="00C27C3D">
            <w:pPr>
              <w:spacing w:before="30" w:after="30"/>
              <w:rPr>
                <w:rFonts w:cs="Times New Roman"/>
                <w:color w:val="404040"/>
                <w:lang w:eastAsia="en-GB"/>
              </w:rPr>
            </w:pPr>
            <w:r w:rsidRPr="001B4EC6">
              <w:rPr>
                <w:rFonts w:cs="Times New Roman"/>
                <w:color w:val="404040"/>
                <w:lang w:eastAsia="en-GB"/>
              </w:rPr>
              <w:t>DCC</w:t>
            </w:r>
          </w:p>
        </w:tc>
      </w:tr>
      <w:tr w:rsidR="004E42D4" w14:paraId="35143AE2"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hideMark/>
          </w:tcPr>
          <w:p w14:paraId="5470474C" w14:textId="77777777" w:rsidR="004E42D4" w:rsidRPr="001B4EC6" w:rsidRDefault="004E42D4" w:rsidP="00C27C3D">
            <w:pPr>
              <w:spacing w:before="30" w:after="30"/>
              <w:rPr>
                <w:rFonts w:cs="Arial"/>
                <w:color w:val="404040"/>
                <w:szCs w:val="20"/>
                <w:lang w:eastAsia="en-GB"/>
              </w:rPr>
            </w:pPr>
            <w:r w:rsidRPr="001B4EC6">
              <w:rPr>
                <w:rFonts w:cs="Arial"/>
                <w:color w:val="404040"/>
                <w:szCs w:val="20"/>
                <w:lang w:eastAsia="en-GB"/>
              </w:rPr>
              <w:t>David Walsh</w:t>
            </w:r>
          </w:p>
        </w:tc>
        <w:tc>
          <w:tcPr>
            <w:tcW w:w="2500" w:type="pct"/>
            <w:tcBorders>
              <w:top w:val="single" w:sz="4" w:space="0" w:color="auto"/>
              <w:left w:val="single" w:sz="4" w:space="0" w:color="auto"/>
              <w:bottom w:val="single" w:sz="4" w:space="0" w:color="auto"/>
              <w:right w:val="single" w:sz="4" w:space="0" w:color="auto"/>
            </w:tcBorders>
            <w:hideMark/>
          </w:tcPr>
          <w:p w14:paraId="726C054C" w14:textId="77777777" w:rsidR="004E42D4" w:rsidRPr="001B4EC6" w:rsidRDefault="004E42D4" w:rsidP="00C27C3D">
            <w:pPr>
              <w:spacing w:before="30" w:after="30"/>
              <w:rPr>
                <w:rFonts w:cs="Times New Roman"/>
                <w:color w:val="404040"/>
                <w:lang w:eastAsia="en-GB"/>
              </w:rPr>
            </w:pPr>
            <w:r w:rsidRPr="001B4EC6">
              <w:rPr>
                <w:rFonts w:cs="Times New Roman"/>
                <w:color w:val="404040"/>
                <w:lang w:eastAsia="en-GB"/>
              </w:rPr>
              <w:t>DCC</w:t>
            </w:r>
          </w:p>
        </w:tc>
      </w:tr>
      <w:tr w:rsidR="004E42D4" w14:paraId="7B6A2415"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6423B6C2" w14:textId="77777777" w:rsidR="004E42D4" w:rsidRPr="001B4EC6" w:rsidRDefault="004E42D4" w:rsidP="00C27C3D">
            <w:pPr>
              <w:spacing w:before="30" w:after="30"/>
              <w:rPr>
                <w:rFonts w:cs="Arial"/>
                <w:color w:val="404040"/>
                <w:szCs w:val="20"/>
                <w:lang w:eastAsia="en-GB"/>
              </w:rPr>
            </w:pPr>
            <w:r w:rsidRPr="001B4EC6">
              <w:rPr>
                <w:rFonts w:cs="Arial"/>
                <w:color w:val="404040"/>
                <w:szCs w:val="20"/>
                <w:lang w:eastAsia="en-GB"/>
              </w:rPr>
              <w:t>Abhijit Pal</w:t>
            </w:r>
          </w:p>
        </w:tc>
        <w:tc>
          <w:tcPr>
            <w:tcW w:w="2500" w:type="pct"/>
            <w:tcBorders>
              <w:top w:val="single" w:sz="4" w:space="0" w:color="auto"/>
              <w:left w:val="single" w:sz="4" w:space="0" w:color="auto"/>
              <w:bottom w:val="single" w:sz="4" w:space="0" w:color="auto"/>
              <w:right w:val="single" w:sz="4" w:space="0" w:color="auto"/>
            </w:tcBorders>
          </w:tcPr>
          <w:p w14:paraId="49271554" w14:textId="77777777" w:rsidR="004E42D4" w:rsidRPr="001B4EC6" w:rsidRDefault="004E42D4" w:rsidP="00C27C3D">
            <w:pPr>
              <w:spacing w:before="30" w:after="30"/>
              <w:rPr>
                <w:rFonts w:cs="Times New Roman"/>
                <w:color w:val="404040"/>
                <w:lang w:eastAsia="en-GB"/>
              </w:rPr>
            </w:pPr>
            <w:r w:rsidRPr="001B4EC6">
              <w:rPr>
                <w:rFonts w:cs="Times New Roman"/>
                <w:color w:val="404040"/>
                <w:lang w:eastAsia="en-GB"/>
              </w:rPr>
              <w:t>DCC</w:t>
            </w:r>
          </w:p>
        </w:tc>
      </w:tr>
      <w:tr w:rsidR="00A1462C" w14:paraId="0FF0C88D"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7B7C61CB" w14:textId="075F4FA3" w:rsidR="00A1462C" w:rsidRPr="001B4EC6" w:rsidRDefault="00A1462C" w:rsidP="00C27C3D">
            <w:pPr>
              <w:spacing w:before="30" w:after="30"/>
              <w:rPr>
                <w:rFonts w:cs="Arial"/>
                <w:color w:val="404040"/>
                <w:szCs w:val="20"/>
                <w:lang w:eastAsia="en-GB"/>
              </w:rPr>
            </w:pPr>
            <w:r w:rsidRPr="001B4EC6">
              <w:rPr>
                <w:rFonts w:cs="Arial"/>
                <w:color w:val="404040"/>
                <w:szCs w:val="20"/>
                <w:lang w:eastAsia="en-GB"/>
              </w:rPr>
              <w:t>Sarah-Jane Russell</w:t>
            </w:r>
          </w:p>
        </w:tc>
        <w:tc>
          <w:tcPr>
            <w:tcW w:w="2500" w:type="pct"/>
            <w:tcBorders>
              <w:top w:val="single" w:sz="4" w:space="0" w:color="auto"/>
              <w:left w:val="single" w:sz="4" w:space="0" w:color="auto"/>
              <w:bottom w:val="single" w:sz="4" w:space="0" w:color="auto"/>
              <w:right w:val="single" w:sz="4" w:space="0" w:color="auto"/>
            </w:tcBorders>
          </w:tcPr>
          <w:p w14:paraId="6DC093BE" w14:textId="7DAB794B" w:rsidR="00A1462C" w:rsidRPr="001B4EC6" w:rsidRDefault="00A1462C" w:rsidP="00C27C3D">
            <w:pPr>
              <w:spacing w:before="30" w:after="30"/>
              <w:rPr>
                <w:rFonts w:cs="Times New Roman"/>
                <w:color w:val="404040"/>
                <w:lang w:eastAsia="en-GB"/>
              </w:rPr>
            </w:pPr>
            <w:r w:rsidRPr="001B4EC6">
              <w:rPr>
                <w:rFonts w:cs="Times New Roman"/>
                <w:color w:val="404040"/>
                <w:lang w:eastAsia="en-GB"/>
              </w:rPr>
              <w:t>British Gas</w:t>
            </w:r>
          </w:p>
        </w:tc>
      </w:tr>
      <w:tr w:rsidR="004E42D4" w14:paraId="6755FD11"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hideMark/>
          </w:tcPr>
          <w:p w14:paraId="31F74166" w14:textId="77777777" w:rsidR="004E42D4" w:rsidRPr="001B4EC6" w:rsidRDefault="004E42D4" w:rsidP="00C27C3D">
            <w:pPr>
              <w:spacing w:before="30" w:after="30"/>
              <w:rPr>
                <w:rFonts w:cs="Arial"/>
                <w:color w:val="404040"/>
                <w:szCs w:val="20"/>
                <w:lang w:eastAsia="en-GB"/>
              </w:rPr>
            </w:pPr>
            <w:r w:rsidRPr="001B4EC6">
              <w:rPr>
                <w:rFonts w:cs="Arial"/>
                <w:color w:val="404040"/>
                <w:szCs w:val="20"/>
                <w:lang w:eastAsia="en-GB"/>
              </w:rPr>
              <w:t>Lynne Hargrave</w:t>
            </w:r>
          </w:p>
        </w:tc>
        <w:tc>
          <w:tcPr>
            <w:tcW w:w="2500" w:type="pct"/>
            <w:tcBorders>
              <w:top w:val="single" w:sz="4" w:space="0" w:color="auto"/>
              <w:left w:val="single" w:sz="4" w:space="0" w:color="auto"/>
              <w:bottom w:val="single" w:sz="4" w:space="0" w:color="auto"/>
              <w:right w:val="single" w:sz="4" w:space="0" w:color="auto"/>
            </w:tcBorders>
            <w:hideMark/>
          </w:tcPr>
          <w:p w14:paraId="7594C4FC" w14:textId="77777777" w:rsidR="004E42D4" w:rsidRPr="001B4EC6" w:rsidRDefault="004E42D4" w:rsidP="00C27C3D">
            <w:pPr>
              <w:spacing w:before="30" w:after="30"/>
              <w:rPr>
                <w:rFonts w:cs="Times New Roman"/>
                <w:color w:val="404040"/>
                <w:lang w:eastAsia="en-GB"/>
              </w:rPr>
            </w:pPr>
            <w:r w:rsidRPr="001B4EC6">
              <w:rPr>
                <w:rFonts w:cs="Times New Roman"/>
                <w:color w:val="404040"/>
                <w:lang w:eastAsia="en-GB"/>
              </w:rPr>
              <w:t>Calvin Capital</w:t>
            </w:r>
          </w:p>
        </w:tc>
      </w:tr>
      <w:tr w:rsidR="004E42D4" w14:paraId="7E602486"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hideMark/>
          </w:tcPr>
          <w:p w14:paraId="68DA6963" w14:textId="77777777" w:rsidR="004E42D4" w:rsidRPr="001B4EC6" w:rsidRDefault="004E42D4" w:rsidP="00C27C3D">
            <w:pPr>
              <w:spacing w:before="30" w:after="30"/>
              <w:rPr>
                <w:rFonts w:cs="Arial"/>
                <w:color w:val="404040"/>
                <w:szCs w:val="20"/>
                <w:lang w:eastAsia="en-GB"/>
              </w:rPr>
            </w:pPr>
            <w:r w:rsidRPr="001B4EC6">
              <w:rPr>
                <w:rFonts w:cs="Arial"/>
                <w:color w:val="404040"/>
                <w:szCs w:val="20"/>
                <w:lang w:eastAsia="en-GB"/>
              </w:rPr>
              <w:t>Julie Geary</w:t>
            </w:r>
          </w:p>
        </w:tc>
        <w:tc>
          <w:tcPr>
            <w:tcW w:w="2500" w:type="pct"/>
            <w:tcBorders>
              <w:top w:val="single" w:sz="4" w:space="0" w:color="auto"/>
              <w:left w:val="single" w:sz="4" w:space="0" w:color="auto"/>
              <w:bottom w:val="single" w:sz="4" w:space="0" w:color="auto"/>
              <w:right w:val="single" w:sz="4" w:space="0" w:color="auto"/>
            </w:tcBorders>
            <w:hideMark/>
          </w:tcPr>
          <w:p w14:paraId="1E09F09B" w14:textId="77777777" w:rsidR="004E42D4" w:rsidRPr="001B4EC6" w:rsidRDefault="004E42D4" w:rsidP="00C27C3D">
            <w:pPr>
              <w:spacing w:before="30" w:after="30"/>
              <w:rPr>
                <w:rFonts w:cs="Times New Roman"/>
                <w:color w:val="404040"/>
                <w:lang w:eastAsia="en-GB"/>
              </w:rPr>
            </w:pPr>
            <w:proofErr w:type="gramStart"/>
            <w:r w:rsidRPr="001B4EC6">
              <w:rPr>
                <w:rFonts w:cs="Times New Roman"/>
                <w:color w:val="404040"/>
                <w:lang w:eastAsia="en-GB"/>
              </w:rPr>
              <w:t>E.ON</w:t>
            </w:r>
            <w:proofErr w:type="gramEnd"/>
          </w:p>
        </w:tc>
      </w:tr>
      <w:tr w:rsidR="004E42D4" w14:paraId="06D20AC7"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49662E0D" w14:textId="3F16209C" w:rsidR="004E42D4" w:rsidRPr="001B4EC6" w:rsidRDefault="00A1462C" w:rsidP="00C27C3D">
            <w:pPr>
              <w:spacing w:before="30" w:after="30"/>
              <w:rPr>
                <w:rFonts w:cs="Arial"/>
                <w:color w:val="404040"/>
                <w:szCs w:val="20"/>
                <w:lang w:eastAsia="en-GB"/>
              </w:rPr>
            </w:pPr>
            <w:r w:rsidRPr="001B4EC6">
              <w:rPr>
                <w:rFonts w:cs="Arial"/>
                <w:color w:val="404040"/>
                <w:szCs w:val="20"/>
                <w:lang w:eastAsia="en-GB"/>
              </w:rPr>
              <w:t>Robert Williams</w:t>
            </w:r>
          </w:p>
        </w:tc>
        <w:tc>
          <w:tcPr>
            <w:tcW w:w="2500" w:type="pct"/>
            <w:tcBorders>
              <w:top w:val="single" w:sz="4" w:space="0" w:color="auto"/>
              <w:left w:val="single" w:sz="4" w:space="0" w:color="auto"/>
              <w:bottom w:val="single" w:sz="4" w:space="0" w:color="auto"/>
              <w:right w:val="single" w:sz="4" w:space="0" w:color="auto"/>
            </w:tcBorders>
          </w:tcPr>
          <w:p w14:paraId="70018ED9" w14:textId="77777777" w:rsidR="004E42D4" w:rsidRPr="001B4EC6" w:rsidRDefault="004E42D4" w:rsidP="00C27C3D">
            <w:pPr>
              <w:spacing w:before="30" w:after="30"/>
              <w:rPr>
                <w:rFonts w:cs="Times New Roman"/>
                <w:color w:val="404040"/>
                <w:lang w:eastAsia="en-GB"/>
              </w:rPr>
            </w:pPr>
            <w:proofErr w:type="gramStart"/>
            <w:r w:rsidRPr="001B4EC6">
              <w:rPr>
                <w:rFonts w:cs="Times New Roman"/>
                <w:color w:val="404040"/>
                <w:lang w:eastAsia="en-GB"/>
              </w:rPr>
              <w:t>E.ON</w:t>
            </w:r>
            <w:proofErr w:type="gramEnd"/>
          </w:p>
        </w:tc>
      </w:tr>
      <w:tr w:rsidR="004E42D4" w14:paraId="62AEA28E"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hideMark/>
          </w:tcPr>
          <w:p w14:paraId="42F43628" w14:textId="77777777" w:rsidR="004E42D4" w:rsidRPr="001B4EC6" w:rsidRDefault="004E42D4" w:rsidP="00C27C3D">
            <w:pPr>
              <w:spacing w:before="30" w:after="30"/>
              <w:rPr>
                <w:rFonts w:cs="Arial"/>
                <w:color w:val="404040"/>
                <w:szCs w:val="20"/>
                <w:lang w:eastAsia="en-GB"/>
              </w:rPr>
            </w:pPr>
            <w:r w:rsidRPr="001B4EC6">
              <w:rPr>
                <w:rFonts w:cs="Arial"/>
                <w:color w:val="404040"/>
                <w:szCs w:val="20"/>
                <w:lang w:eastAsia="en-GB"/>
              </w:rPr>
              <w:t>Alex Hurcombe</w:t>
            </w:r>
          </w:p>
        </w:tc>
        <w:tc>
          <w:tcPr>
            <w:tcW w:w="2500" w:type="pct"/>
            <w:tcBorders>
              <w:top w:val="single" w:sz="4" w:space="0" w:color="auto"/>
              <w:left w:val="single" w:sz="4" w:space="0" w:color="auto"/>
              <w:bottom w:val="single" w:sz="4" w:space="0" w:color="auto"/>
              <w:right w:val="single" w:sz="4" w:space="0" w:color="auto"/>
            </w:tcBorders>
            <w:hideMark/>
          </w:tcPr>
          <w:p w14:paraId="2DCE6969" w14:textId="77777777" w:rsidR="004E42D4" w:rsidRPr="001B4EC6" w:rsidRDefault="004E42D4" w:rsidP="00C27C3D">
            <w:pPr>
              <w:spacing w:before="30" w:after="30"/>
              <w:rPr>
                <w:rFonts w:cs="Times New Roman"/>
                <w:color w:val="404040"/>
                <w:lang w:eastAsia="en-GB"/>
              </w:rPr>
            </w:pPr>
            <w:r w:rsidRPr="001B4EC6">
              <w:rPr>
                <w:rFonts w:cs="Times New Roman"/>
                <w:color w:val="404040"/>
                <w:lang w:eastAsia="en-GB"/>
              </w:rPr>
              <w:t>EDF Energy</w:t>
            </w:r>
          </w:p>
        </w:tc>
      </w:tr>
      <w:tr w:rsidR="00A1462C" w14:paraId="339C025A"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6B5BF580" w14:textId="14195E07" w:rsidR="00A1462C" w:rsidRPr="001B4EC6" w:rsidRDefault="00A1462C" w:rsidP="00C27C3D">
            <w:pPr>
              <w:spacing w:before="30" w:after="30"/>
              <w:rPr>
                <w:rFonts w:cs="Arial"/>
                <w:color w:val="404040"/>
                <w:szCs w:val="20"/>
                <w:lang w:eastAsia="en-GB"/>
              </w:rPr>
            </w:pPr>
            <w:r w:rsidRPr="001B4EC6">
              <w:rPr>
                <w:rFonts w:cs="Arial"/>
                <w:color w:val="404040"/>
                <w:szCs w:val="20"/>
                <w:lang w:eastAsia="en-GB"/>
              </w:rPr>
              <w:t>Daniel Davis</w:t>
            </w:r>
          </w:p>
        </w:tc>
        <w:tc>
          <w:tcPr>
            <w:tcW w:w="2500" w:type="pct"/>
            <w:tcBorders>
              <w:top w:val="single" w:sz="4" w:space="0" w:color="auto"/>
              <w:left w:val="single" w:sz="4" w:space="0" w:color="auto"/>
              <w:bottom w:val="single" w:sz="4" w:space="0" w:color="auto"/>
              <w:right w:val="single" w:sz="4" w:space="0" w:color="auto"/>
            </w:tcBorders>
          </w:tcPr>
          <w:p w14:paraId="41E61AB9" w14:textId="68B6A609" w:rsidR="00A1462C" w:rsidRPr="001B4EC6" w:rsidRDefault="00A1462C" w:rsidP="00C27C3D">
            <w:pPr>
              <w:spacing w:before="30" w:after="30"/>
              <w:rPr>
                <w:rFonts w:cs="Times New Roman"/>
                <w:color w:val="404040"/>
                <w:lang w:eastAsia="en-GB"/>
              </w:rPr>
            </w:pPr>
            <w:r w:rsidRPr="001B4EC6">
              <w:rPr>
                <w:rFonts w:cs="Times New Roman"/>
                <w:color w:val="404040"/>
                <w:lang w:eastAsia="en-GB"/>
              </w:rPr>
              <w:t>ESG Global</w:t>
            </w:r>
          </w:p>
        </w:tc>
      </w:tr>
      <w:tr w:rsidR="004E42D4" w14:paraId="0031A06D"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609F1161" w14:textId="0B8DF898" w:rsidR="004E42D4" w:rsidRPr="001B4EC6" w:rsidRDefault="00A1462C" w:rsidP="00C27C3D">
            <w:pPr>
              <w:spacing w:before="30" w:after="30"/>
              <w:rPr>
                <w:rFonts w:cs="Arial"/>
                <w:color w:val="404040"/>
                <w:szCs w:val="20"/>
                <w:lang w:eastAsia="en-GB"/>
              </w:rPr>
            </w:pPr>
            <w:r w:rsidRPr="001B4EC6">
              <w:rPr>
                <w:rFonts w:cs="Arial"/>
                <w:color w:val="404040"/>
                <w:szCs w:val="20"/>
                <w:lang w:eastAsia="en-GB"/>
              </w:rPr>
              <w:t>Terry Jefferson</w:t>
            </w:r>
          </w:p>
        </w:tc>
        <w:tc>
          <w:tcPr>
            <w:tcW w:w="2500" w:type="pct"/>
            <w:tcBorders>
              <w:top w:val="single" w:sz="4" w:space="0" w:color="auto"/>
              <w:left w:val="single" w:sz="4" w:space="0" w:color="auto"/>
              <w:bottom w:val="single" w:sz="4" w:space="0" w:color="auto"/>
              <w:right w:val="single" w:sz="4" w:space="0" w:color="auto"/>
            </w:tcBorders>
          </w:tcPr>
          <w:p w14:paraId="516A9060" w14:textId="32D2E89E" w:rsidR="004E42D4" w:rsidRPr="001B4EC6" w:rsidRDefault="00A1462C" w:rsidP="00C27C3D">
            <w:pPr>
              <w:spacing w:before="30" w:after="30"/>
              <w:rPr>
                <w:rFonts w:cs="Times New Roman"/>
                <w:color w:val="404040"/>
                <w:lang w:eastAsia="en-GB"/>
              </w:rPr>
            </w:pPr>
            <w:r w:rsidRPr="001B4EC6">
              <w:rPr>
                <w:rFonts w:cs="Times New Roman"/>
                <w:color w:val="404040"/>
                <w:lang w:eastAsia="en-GB"/>
              </w:rPr>
              <w:t>EUA</w:t>
            </w:r>
          </w:p>
        </w:tc>
      </w:tr>
      <w:tr w:rsidR="004E42D4" w14:paraId="7F4F66E0"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hideMark/>
          </w:tcPr>
          <w:p w14:paraId="0AE41825" w14:textId="77777777" w:rsidR="004E42D4" w:rsidRPr="001B4EC6" w:rsidRDefault="004E42D4" w:rsidP="00C27C3D">
            <w:pPr>
              <w:spacing w:before="30" w:after="30"/>
              <w:rPr>
                <w:rFonts w:cs="Arial"/>
                <w:i/>
                <w:iCs/>
                <w:color w:val="404040"/>
                <w:szCs w:val="20"/>
                <w:lang w:eastAsia="en-GB"/>
              </w:rPr>
            </w:pPr>
            <w:r w:rsidRPr="001B4EC6">
              <w:rPr>
                <w:rFonts w:cs="Arial"/>
                <w:color w:val="404040"/>
                <w:szCs w:val="20"/>
                <w:lang w:eastAsia="en-GB"/>
              </w:rPr>
              <w:t xml:space="preserve">Alastair Cobb </w:t>
            </w:r>
          </w:p>
        </w:tc>
        <w:tc>
          <w:tcPr>
            <w:tcW w:w="2500" w:type="pct"/>
            <w:tcBorders>
              <w:top w:val="single" w:sz="4" w:space="0" w:color="auto"/>
              <w:left w:val="single" w:sz="4" w:space="0" w:color="auto"/>
              <w:bottom w:val="single" w:sz="4" w:space="0" w:color="auto"/>
              <w:right w:val="single" w:sz="4" w:space="0" w:color="auto"/>
            </w:tcBorders>
            <w:hideMark/>
          </w:tcPr>
          <w:p w14:paraId="6B7EECCD" w14:textId="77777777" w:rsidR="004E42D4" w:rsidRPr="001B4EC6" w:rsidRDefault="004E42D4" w:rsidP="00C27C3D">
            <w:pPr>
              <w:spacing w:before="30" w:after="30"/>
              <w:rPr>
                <w:rFonts w:cs="Times New Roman"/>
                <w:color w:val="404040"/>
                <w:lang w:eastAsia="en-GB"/>
              </w:rPr>
            </w:pPr>
            <w:r w:rsidRPr="001B4EC6">
              <w:rPr>
                <w:rFonts w:cs="Times New Roman"/>
                <w:color w:val="404040"/>
                <w:lang w:eastAsia="en-GB"/>
              </w:rPr>
              <w:t xml:space="preserve">Landis + </w:t>
            </w:r>
            <w:proofErr w:type="spellStart"/>
            <w:r w:rsidRPr="001B4EC6">
              <w:rPr>
                <w:rFonts w:cs="Times New Roman"/>
                <w:color w:val="404040"/>
                <w:lang w:eastAsia="en-GB"/>
              </w:rPr>
              <w:t>Gyr</w:t>
            </w:r>
            <w:proofErr w:type="spellEnd"/>
          </w:p>
        </w:tc>
      </w:tr>
      <w:tr w:rsidR="004E42D4" w14:paraId="42245DB2"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hideMark/>
          </w:tcPr>
          <w:p w14:paraId="242A9E61" w14:textId="77777777" w:rsidR="004E42D4" w:rsidRPr="001B4EC6" w:rsidRDefault="004E42D4" w:rsidP="00C27C3D">
            <w:pPr>
              <w:spacing w:before="30" w:after="30"/>
              <w:rPr>
                <w:rFonts w:cs="Arial"/>
                <w:color w:val="404040"/>
                <w:szCs w:val="20"/>
                <w:lang w:eastAsia="en-GB"/>
              </w:rPr>
            </w:pPr>
            <w:r w:rsidRPr="001B4EC6">
              <w:rPr>
                <w:rFonts w:cs="Arial"/>
                <w:color w:val="404040"/>
                <w:szCs w:val="20"/>
                <w:lang w:eastAsia="en-GB"/>
              </w:rPr>
              <w:t>Ralph Baxter</w:t>
            </w:r>
          </w:p>
        </w:tc>
        <w:tc>
          <w:tcPr>
            <w:tcW w:w="2500" w:type="pct"/>
            <w:tcBorders>
              <w:top w:val="single" w:sz="4" w:space="0" w:color="auto"/>
              <w:left w:val="single" w:sz="4" w:space="0" w:color="auto"/>
              <w:bottom w:val="single" w:sz="4" w:space="0" w:color="auto"/>
              <w:right w:val="single" w:sz="4" w:space="0" w:color="auto"/>
            </w:tcBorders>
            <w:hideMark/>
          </w:tcPr>
          <w:p w14:paraId="120AC496" w14:textId="77777777" w:rsidR="004E42D4" w:rsidRPr="001B4EC6" w:rsidRDefault="004E42D4" w:rsidP="00C27C3D">
            <w:pPr>
              <w:spacing w:before="30" w:after="30"/>
              <w:rPr>
                <w:rFonts w:cs="Times New Roman"/>
                <w:color w:val="404040"/>
                <w:lang w:eastAsia="en-GB"/>
              </w:rPr>
            </w:pPr>
            <w:r w:rsidRPr="001B4EC6">
              <w:rPr>
                <w:rFonts w:cs="Times New Roman"/>
                <w:color w:val="404040"/>
                <w:lang w:eastAsia="en-GB"/>
              </w:rPr>
              <w:t>Octopus Energy</w:t>
            </w:r>
          </w:p>
        </w:tc>
      </w:tr>
      <w:tr w:rsidR="001B4EC6" w14:paraId="13D44F39"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05FAE9DE" w14:textId="10957F85" w:rsidR="001B4EC6" w:rsidRPr="001B4EC6" w:rsidRDefault="001B4EC6" w:rsidP="00C27C3D">
            <w:pPr>
              <w:spacing w:before="30" w:after="30"/>
              <w:rPr>
                <w:rFonts w:cs="Arial"/>
                <w:color w:val="404040"/>
                <w:szCs w:val="20"/>
                <w:lang w:eastAsia="en-GB"/>
              </w:rPr>
            </w:pPr>
            <w:r w:rsidRPr="001B4EC6">
              <w:rPr>
                <w:rFonts w:cs="Arial"/>
                <w:color w:val="404040"/>
                <w:szCs w:val="20"/>
                <w:lang w:eastAsia="en-GB"/>
              </w:rPr>
              <w:t xml:space="preserve">Andy </w:t>
            </w:r>
            <w:proofErr w:type="spellStart"/>
            <w:r w:rsidRPr="001B4EC6">
              <w:rPr>
                <w:rFonts w:cs="Arial"/>
                <w:color w:val="404040"/>
                <w:szCs w:val="20"/>
                <w:lang w:eastAsia="en-GB"/>
              </w:rPr>
              <w:t>MacFaul</w:t>
            </w:r>
            <w:proofErr w:type="spellEnd"/>
          </w:p>
        </w:tc>
        <w:tc>
          <w:tcPr>
            <w:tcW w:w="2500" w:type="pct"/>
            <w:tcBorders>
              <w:top w:val="single" w:sz="4" w:space="0" w:color="auto"/>
              <w:left w:val="single" w:sz="4" w:space="0" w:color="auto"/>
              <w:bottom w:val="single" w:sz="4" w:space="0" w:color="auto"/>
              <w:right w:val="single" w:sz="4" w:space="0" w:color="auto"/>
            </w:tcBorders>
          </w:tcPr>
          <w:p w14:paraId="05EA97F5" w14:textId="4C84E690" w:rsidR="001B4EC6" w:rsidRPr="001B4EC6" w:rsidRDefault="001B4EC6" w:rsidP="00C27C3D">
            <w:pPr>
              <w:spacing w:before="30" w:after="30"/>
              <w:rPr>
                <w:rFonts w:cs="Times New Roman"/>
                <w:color w:val="404040"/>
                <w:lang w:eastAsia="en-GB"/>
              </w:rPr>
            </w:pPr>
            <w:r w:rsidRPr="001B4EC6">
              <w:rPr>
                <w:rFonts w:cs="Times New Roman"/>
                <w:color w:val="404040"/>
                <w:lang w:eastAsia="en-GB"/>
              </w:rPr>
              <w:t>Ofgem</w:t>
            </w:r>
          </w:p>
        </w:tc>
      </w:tr>
      <w:tr w:rsidR="004E42D4" w14:paraId="30D709E3"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hideMark/>
          </w:tcPr>
          <w:p w14:paraId="082B6024" w14:textId="77777777" w:rsidR="004E42D4" w:rsidRPr="001B4EC6" w:rsidRDefault="004E42D4" w:rsidP="00C27C3D">
            <w:pPr>
              <w:spacing w:before="30" w:after="30"/>
              <w:rPr>
                <w:rFonts w:cs="Arial"/>
                <w:color w:val="404040"/>
                <w:szCs w:val="20"/>
                <w:lang w:eastAsia="en-GB"/>
              </w:rPr>
            </w:pPr>
            <w:r w:rsidRPr="001B4EC6">
              <w:rPr>
                <w:rFonts w:cs="Arial"/>
                <w:color w:val="404040"/>
                <w:szCs w:val="20"/>
                <w:lang w:eastAsia="en-GB"/>
              </w:rPr>
              <w:t>Emslie Law</w:t>
            </w:r>
          </w:p>
        </w:tc>
        <w:tc>
          <w:tcPr>
            <w:tcW w:w="2500" w:type="pct"/>
            <w:tcBorders>
              <w:top w:val="single" w:sz="4" w:space="0" w:color="auto"/>
              <w:left w:val="single" w:sz="4" w:space="0" w:color="auto"/>
              <w:bottom w:val="single" w:sz="4" w:space="0" w:color="auto"/>
              <w:right w:val="single" w:sz="4" w:space="0" w:color="auto"/>
            </w:tcBorders>
            <w:hideMark/>
          </w:tcPr>
          <w:p w14:paraId="0313FCD4" w14:textId="77777777" w:rsidR="004E42D4" w:rsidRPr="001B4EC6" w:rsidRDefault="004E42D4" w:rsidP="00C27C3D">
            <w:pPr>
              <w:spacing w:before="30" w:after="30"/>
              <w:rPr>
                <w:rFonts w:cs="Times New Roman"/>
                <w:color w:val="404040"/>
                <w:lang w:eastAsia="en-GB"/>
              </w:rPr>
            </w:pPr>
            <w:r w:rsidRPr="001B4EC6">
              <w:rPr>
                <w:rFonts w:cs="Times New Roman"/>
                <w:color w:val="404040"/>
                <w:lang w:eastAsia="en-GB"/>
              </w:rPr>
              <w:t>OVO Energy</w:t>
            </w:r>
          </w:p>
        </w:tc>
      </w:tr>
      <w:tr w:rsidR="004E42D4" w14:paraId="52A5C8F5"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hideMark/>
          </w:tcPr>
          <w:p w14:paraId="44A31E23" w14:textId="77777777" w:rsidR="004E42D4" w:rsidRPr="001B4EC6" w:rsidRDefault="004E42D4" w:rsidP="00C27C3D">
            <w:pPr>
              <w:spacing w:before="30" w:after="30"/>
              <w:rPr>
                <w:rFonts w:cs="Arial"/>
                <w:color w:val="404040"/>
                <w:szCs w:val="20"/>
                <w:lang w:eastAsia="en-GB"/>
              </w:rPr>
            </w:pPr>
            <w:r w:rsidRPr="001B4EC6">
              <w:rPr>
                <w:rFonts w:cs="Arial"/>
                <w:color w:val="404040"/>
                <w:szCs w:val="20"/>
                <w:lang w:eastAsia="en-GB"/>
              </w:rPr>
              <w:t>Mafs Rahman</w:t>
            </w:r>
          </w:p>
        </w:tc>
        <w:tc>
          <w:tcPr>
            <w:tcW w:w="2500" w:type="pct"/>
            <w:tcBorders>
              <w:top w:val="single" w:sz="4" w:space="0" w:color="auto"/>
              <w:left w:val="single" w:sz="4" w:space="0" w:color="auto"/>
              <w:bottom w:val="single" w:sz="4" w:space="0" w:color="auto"/>
              <w:right w:val="single" w:sz="4" w:space="0" w:color="auto"/>
            </w:tcBorders>
            <w:hideMark/>
          </w:tcPr>
          <w:p w14:paraId="40C7F8EF" w14:textId="77777777" w:rsidR="004E42D4" w:rsidRPr="001B4EC6" w:rsidRDefault="004E42D4" w:rsidP="00C27C3D">
            <w:pPr>
              <w:spacing w:before="30" w:after="30"/>
              <w:rPr>
                <w:rFonts w:cs="Times New Roman"/>
                <w:color w:val="404040"/>
                <w:lang w:eastAsia="en-GB"/>
              </w:rPr>
            </w:pPr>
            <w:r w:rsidRPr="001B4EC6">
              <w:rPr>
                <w:rFonts w:cs="Times New Roman"/>
                <w:color w:val="404040"/>
                <w:lang w:eastAsia="en-GB"/>
              </w:rPr>
              <w:t>Scottish Power</w:t>
            </w:r>
          </w:p>
        </w:tc>
      </w:tr>
      <w:tr w:rsidR="004E42D4" w14:paraId="72A729F3"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3D1B3A91" w14:textId="77777777" w:rsidR="004E42D4" w:rsidRPr="001B4EC6" w:rsidRDefault="004E42D4" w:rsidP="00C27C3D">
            <w:pPr>
              <w:spacing w:before="30" w:after="30"/>
              <w:rPr>
                <w:rFonts w:cs="Arial"/>
                <w:color w:val="404040"/>
                <w:szCs w:val="20"/>
                <w:lang w:eastAsia="en-GB"/>
              </w:rPr>
            </w:pPr>
            <w:r w:rsidRPr="001B4EC6">
              <w:rPr>
                <w:rFonts w:cs="Arial"/>
                <w:color w:val="404040"/>
                <w:szCs w:val="20"/>
                <w:lang w:eastAsia="en-GB"/>
              </w:rPr>
              <w:t>Elias Hanna</w:t>
            </w:r>
          </w:p>
        </w:tc>
        <w:tc>
          <w:tcPr>
            <w:tcW w:w="2500" w:type="pct"/>
            <w:tcBorders>
              <w:top w:val="single" w:sz="4" w:space="0" w:color="auto"/>
              <w:left w:val="single" w:sz="4" w:space="0" w:color="auto"/>
              <w:bottom w:val="single" w:sz="4" w:space="0" w:color="auto"/>
              <w:right w:val="single" w:sz="4" w:space="0" w:color="auto"/>
            </w:tcBorders>
          </w:tcPr>
          <w:p w14:paraId="58A2A52A" w14:textId="77777777" w:rsidR="004E42D4" w:rsidRPr="001B4EC6" w:rsidRDefault="004E42D4" w:rsidP="00C27C3D">
            <w:pPr>
              <w:spacing w:before="30" w:after="30"/>
              <w:rPr>
                <w:rFonts w:cs="Times New Roman"/>
                <w:color w:val="404040"/>
                <w:lang w:eastAsia="en-GB"/>
              </w:rPr>
            </w:pPr>
            <w:r w:rsidRPr="001B4EC6">
              <w:rPr>
                <w:rFonts w:cs="Times New Roman"/>
                <w:color w:val="404040"/>
                <w:lang w:eastAsia="en-GB"/>
              </w:rPr>
              <w:t>Smart ADSL</w:t>
            </w:r>
          </w:p>
        </w:tc>
      </w:tr>
      <w:tr w:rsidR="004E42D4" w14:paraId="695117B1"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hideMark/>
          </w:tcPr>
          <w:p w14:paraId="12014C7C" w14:textId="77777777" w:rsidR="004E42D4" w:rsidRPr="001B4EC6" w:rsidRDefault="004E42D4" w:rsidP="00C27C3D">
            <w:pPr>
              <w:spacing w:before="30" w:after="30"/>
              <w:rPr>
                <w:rFonts w:cs="Arial"/>
                <w:color w:val="404040"/>
                <w:szCs w:val="20"/>
                <w:lang w:eastAsia="en-GB"/>
              </w:rPr>
            </w:pPr>
            <w:r w:rsidRPr="001B4EC6">
              <w:rPr>
                <w:rFonts w:cs="Arial"/>
                <w:color w:val="404040"/>
                <w:szCs w:val="20"/>
                <w:lang w:eastAsia="en-GB"/>
              </w:rPr>
              <w:t>Matthew Alexander</w:t>
            </w:r>
          </w:p>
        </w:tc>
        <w:tc>
          <w:tcPr>
            <w:tcW w:w="2500" w:type="pct"/>
            <w:tcBorders>
              <w:top w:val="single" w:sz="4" w:space="0" w:color="auto"/>
              <w:left w:val="single" w:sz="4" w:space="0" w:color="auto"/>
              <w:bottom w:val="single" w:sz="4" w:space="0" w:color="auto"/>
              <w:right w:val="single" w:sz="4" w:space="0" w:color="auto"/>
            </w:tcBorders>
            <w:hideMark/>
          </w:tcPr>
          <w:p w14:paraId="56DFF89A" w14:textId="77777777" w:rsidR="004E42D4" w:rsidRPr="001B4EC6" w:rsidRDefault="004E42D4" w:rsidP="00C27C3D">
            <w:pPr>
              <w:spacing w:before="30" w:after="30"/>
              <w:rPr>
                <w:rFonts w:cs="Times New Roman"/>
                <w:color w:val="404040"/>
                <w:lang w:eastAsia="en-GB"/>
              </w:rPr>
            </w:pPr>
            <w:r w:rsidRPr="001B4EC6">
              <w:rPr>
                <w:rFonts w:cs="Times New Roman"/>
                <w:color w:val="404040"/>
                <w:lang w:eastAsia="en-GB"/>
              </w:rPr>
              <w:t>SSEN</w:t>
            </w:r>
          </w:p>
        </w:tc>
      </w:tr>
      <w:tr w:rsidR="00A1462C" w14:paraId="28049F0A"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70BB5B89" w14:textId="3EF38248" w:rsidR="00A1462C" w:rsidRPr="001B4EC6" w:rsidRDefault="001B4EC6" w:rsidP="00C27C3D">
            <w:pPr>
              <w:spacing w:before="30" w:after="30"/>
              <w:rPr>
                <w:rFonts w:cs="Arial"/>
                <w:color w:val="404040"/>
                <w:szCs w:val="20"/>
                <w:lang w:eastAsia="en-GB"/>
              </w:rPr>
            </w:pPr>
            <w:r w:rsidRPr="001B4EC6">
              <w:rPr>
                <w:rFonts w:cs="Arial"/>
                <w:color w:val="404040"/>
                <w:szCs w:val="20"/>
                <w:lang w:eastAsia="en-GB"/>
              </w:rPr>
              <w:t>Simon Wilcox</w:t>
            </w:r>
          </w:p>
        </w:tc>
        <w:tc>
          <w:tcPr>
            <w:tcW w:w="2500" w:type="pct"/>
            <w:tcBorders>
              <w:top w:val="single" w:sz="4" w:space="0" w:color="auto"/>
              <w:left w:val="single" w:sz="4" w:space="0" w:color="auto"/>
              <w:bottom w:val="single" w:sz="4" w:space="0" w:color="auto"/>
              <w:right w:val="single" w:sz="4" w:space="0" w:color="auto"/>
            </w:tcBorders>
          </w:tcPr>
          <w:p w14:paraId="5EB38510" w14:textId="1DD420E5" w:rsidR="00A1462C" w:rsidRPr="001B4EC6" w:rsidRDefault="001B4EC6" w:rsidP="00C27C3D">
            <w:pPr>
              <w:spacing w:before="30" w:after="30"/>
              <w:rPr>
                <w:rFonts w:cs="Times New Roman"/>
                <w:color w:val="404040"/>
                <w:lang w:eastAsia="en-GB"/>
              </w:rPr>
            </w:pPr>
            <w:r w:rsidRPr="001B4EC6">
              <w:rPr>
                <w:rFonts w:cs="Times New Roman"/>
                <w:color w:val="404040"/>
                <w:lang w:eastAsia="en-GB"/>
              </w:rPr>
              <w:t>Stark</w:t>
            </w:r>
          </w:p>
        </w:tc>
      </w:tr>
      <w:tr w:rsidR="004E42D4" w14:paraId="763140FC"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6706C2C8" w14:textId="68F3AA05" w:rsidR="004E42D4" w:rsidRPr="001B4EC6" w:rsidRDefault="00A1462C" w:rsidP="00C27C3D">
            <w:pPr>
              <w:spacing w:before="30" w:after="30"/>
              <w:rPr>
                <w:rFonts w:cs="Arial"/>
                <w:color w:val="404040"/>
                <w:szCs w:val="20"/>
                <w:lang w:eastAsia="en-GB"/>
              </w:rPr>
            </w:pPr>
            <w:r w:rsidRPr="001B4EC6">
              <w:rPr>
                <w:rFonts w:cs="Arial"/>
                <w:color w:val="404040"/>
                <w:szCs w:val="20"/>
                <w:lang w:eastAsia="en-GB"/>
              </w:rPr>
              <w:t>Julian Hughes</w:t>
            </w:r>
          </w:p>
        </w:tc>
        <w:tc>
          <w:tcPr>
            <w:tcW w:w="2500" w:type="pct"/>
            <w:tcBorders>
              <w:top w:val="single" w:sz="4" w:space="0" w:color="auto"/>
              <w:left w:val="single" w:sz="4" w:space="0" w:color="auto"/>
              <w:bottom w:val="single" w:sz="4" w:space="0" w:color="auto"/>
              <w:right w:val="single" w:sz="4" w:space="0" w:color="auto"/>
            </w:tcBorders>
          </w:tcPr>
          <w:p w14:paraId="096B5890" w14:textId="69CFEE3E" w:rsidR="004E42D4" w:rsidRPr="001B4EC6" w:rsidRDefault="00A1462C" w:rsidP="00C27C3D">
            <w:pPr>
              <w:spacing w:before="30" w:after="30"/>
              <w:rPr>
                <w:rFonts w:cs="Times New Roman"/>
                <w:color w:val="404040"/>
                <w:lang w:eastAsia="en-GB"/>
              </w:rPr>
            </w:pPr>
            <w:r w:rsidRPr="001B4EC6">
              <w:rPr>
                <w:rFonts w:cs="Times New Roman"/>
                <w:color w:val="404040"/>
                <w:lang w:eastAsia="en-GB"/>
              </w:rPr>
              <w:t>TABASC Chair</w:t>
            </w:r>
          </w:p>
        </w:tc>
      </w:tr>
      <w:tr w:rsidR="00A1462C" w14:paraId="4904B1A6"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3627ADCB" w14:textId="3B3D4948" w:rsidR="00A1462C" w:rsidRPr="001B4EC6" w:rsidRDefault="00A1462C" w:rsidP="00C27C3D">
            <w:pPr>
              <w:spacing w:before="30" w:after="30"/>
              <w:rPr>
                <w:rFonts w:cs="Arial"/>
                <w:color w:val="404040"/>
                <w:szCs w:val="20"/>
                <w:lang w:eastAsia="en-GB"/>
              </w:rPr>
            </w:pPr>
            <w:r w:rsidRPr="001B4EC6">
              <w:rPr>
                <w:rFonts w:cs="Arial"/>
                <w:color w:val="404040"/>
                <w:szCs w:val="20"/>
                <w:lang w:eastAsia="en-GB"/>
              </w:rPr>
              <w:t>Naeem Saleem</w:t>
            </w:r>
          </w:p>
        </w:tc>
        <w:tc>
          <w:tcPr>
            <w:tcW w:w="2500" w:type="pct"/>
            <w:tcBorders>
              <w:top w:val="single" w:sz="4" w:space="0" w:color="auto"/>
              <w:left w:val="single" w:sz="4" w:space="0" w:color="auto"/>
              <w:bottom w:val="single" w:sz="4" w:space="0" w:color="auto"/>
              <w:right w:val="single" w:sz="4" w:space="0" w:color="auto"/>
            </w:tcBorders>
          </w:tcPr>
          <w:p w14:paraId="2B431EE3" w14:textId="7EE2A555" w:rsidR="00A1462C" w:rsidRPr="001B4EC6" w:rsidRDefault="001B4EC6" w:rsidP="00C27C3D">
            <w:pPr>
              <w:spacing w:before="30" w:after="30"/>
              <w:rPr>
                <w:rFonts w:cs="Times New Roman"/>
                <w:color w:val="404040"/>
                <w:lang w:eastAsia="en-GB"/>
              </w:rPr>
            </w:pPr>
            <w:r w:rsidRPr="001B4EC6">
              <w:rPr>
                <w:rFonts w:cs="Times New Roman"/>
                <w:color w:val="404040"/>
                <w:lang w:eastAsia="en-GB"/>
              </w:rPr>
              <w:t>UK Power Networks</w:t>
            </w:r>
          </w:p>
        </w:tc>
      </w:tr>
      <w:tr w:rsidR="001B4EC6" w14:paraId="426DD74D"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tcPr>
          <w:p w14:paraId="71771F4E" w14:textId="39F206D0" w:rsidR="001B4EC6" w:rsidRPr="001B4EC6" w:rsidRDefault="001B4EC6" w:rsidP="00C27C3D">
            <w:pPr>
              <w:spacing w:before="30" w:after="30"/>
              <w:rPr>
                <w:rFonts w:cs="Arial"/>
                <w:color w:val="404040"/>
                <w:szCs w:val="20"/>
                <w:lang w:eastAsia="en-GB"/>
              </w:rPr>
            </w:pPr>
            <w:r w:rsidRPr="001B4EC6">
              <w:rPr>
                <w:rFonts w:cs="Arial"/>
                <w:color w:val="404040"/>
                <w:szCs w:val="20"/>
                <w:lang w:eastAsia="en-GB"/>
              </w:rPr>
              <w:t>Rachel Norberg</w:t>
            </w:r>
          </w:p>
        </w:tc>
        <w:tc>
          <w:tcPr>
            <w:tcW w:w="2500" w:type="pct"/>
            <w:tcBorders>
              <w:top w:val="single" w:sz="4" w:space="0" w:color="auto"/>
              <w:left w:val="single" w:sz="4" w:space="0" w:color="auto"/>
              <w:bottom w:val="single" w:sz="4" w:space="0" w:color="auto"/>
              <w:right w:val="single" w:sz="4" w:space="0" w:color="auto"/>
            </w:tcBorders>
          </w:tcPr>
          <w:p w14:paraId="01F8D772" w14:textId="24B1733D" w:rsidR="001B4EC6" w:rsidRPr="001B4EC6" w:rsidRDefault="001B4EC6" w:rsidP="00C27C3D">
            <w:pPr>
              <w:spacing w:before="30" w:after="30"/>
              <w:rPr>
                <w:rFonts w:cs="Times New Roman"/>
                <w:color w:val="404040"/>
                <w:lang w:eastAsia="en-GB"/>
              </w:rPr>
            </w:pPr>
            <w:r w:rsidRPr="001B4EC6">
              <w:rPr>
                <w:rFonts w:cs="Times New Roman"/>
                <w:color w:val="404040"/>
                <w:lang w:eastAsia="en-GB"/>
              </w:rPr>
              <w:t>Utilita</w:t>
            </w:r>
          </w:p>
        </w:tc>
      </w:tr>
      <w:tr w:rsidR="004E42D4" w14:paraId="5F420D88"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hideMark/>
          </w:tcPr>
          <w:p w14:paraId="5A96F7FC" w14:textId="77777777" w:rsidR="004E42D4" w:rsidRPr="001B4EC6" w:rsidRDefault="004E42D4" w:rsidP="00C27C3D">
            <w:pPr>
              <w:spacing w:before="30" w:after="30"/>
              <w:rPr>
                <w:rFonts w:cs="Arial"/>
                <w:color w:val="404040"/>
                <w:szCs w:val="20"/>
                <w:lang w:eastAsia="en-GB"/>
              </w:rPr>
            </w:pPr>
            <w:r w:rsidRPr="001B4EC6">
              <w:rPr>
                <w:rFonts w:cs="Arial"/>
                <w:color w:val="404040"/>
                <w:szCs w:val="20"/>
                <w:lang w:eastAsia="en-GB"/>
              </w:rPr>
              <w:t>Gemma Slaney</w:t>
            </w:r>
          </w:p>
        </w:tc>
        <w:tc>
          <w:tcPr>
            <w:tcW w:w="2500" w:type="pct"/>
            <w:tcBorders>
              <w:top w:val="single" w:sz="4" w:space="0" w:color="auto"/>
              <w:left w:val="single" w:sz="4" w:space="0" w:color="auto"/>
              <w:bottom w:val="single" w:sz="4" w:space="0" w:color="auto"/>
              <w:right w:val="single" w:sz="4" w:space="0" w:color="auto"/>
            </w:tcBorders>
            <w:hideMark/>
          </w:tcPr>
          <w:p w14:paraId="6CB462E0" w14:textId="77777777" w:rsidR="004E42D4" w:rsidRPr="001B4EC6" w:rsidRDefault="004E42D4" w:rsidP="00C27C3D">
            <w:pPr>
              <w:spacing w:before="30" w:after="30"/>
              <w:rPr>
                <w:rFonts w:cs="Times New Roman"/>
                <w:color w:val="404040"/>
                <w:lang w:eastAsia="en-GB"/>
              </w:rPr>
            </w:pPr>
            <w:r w:rsidRPr="001B4EC6">
              <w:rPr>
                <w:rFonts w:cs="Times New Roman"/>
                <w:color w:val="404040"/>
                <w:lang w:eastAsia="en-GB"/>
              </w:rPr>
              <w:t>WPD</w:t>
            </w:r>
          </w:p>
        </w:tc>
      </w:tr>
      <w:tr w:rsidR="004E42D4" w14:paraId="7182E7F6" w14:textId="77777777" w:rsidTr="00C27C3D">
        <w:trPr>
          <w:trHeight w:val="285"/>
          <w:jc w:val="center"/>
        </w:trPr>
        <w:tc>
          <w:tcPr>
            <w:tcW w:w="2500" w:type="pct"/>
            <w:tcBorders>
              <w:top w:val="single" w:sz="4" w:space="0" w:color="auto"/>
              <w:left w:val="single" w:sz="4" w:space="0" w:color="auto"/>
              <w:bottom w:val="single" w:sz="4" w:space="0" w:color="auto"/>
              <w:right w:val="single" w:sz="4" w:space="0" w:color="auto"/>
            </w:tcBorders>
            <w:hideMark/>
          </w:tcPr>
          <w:p w14:paraId="040DF273" w14:textId="77777777" w:rsidR="004E42D4" w:rsidRPr="001B4EC6" w:rsidRDefault="004E42D4" w:rsidP="00C27C3D">
            <w:pPr>
              <w:spacing w:before="30" w:after="30"/>
              <w:rPr>
                <w:rFonts w:cs="Arial"/>
                <w:color w:val="404040"/>
                <w:szCs w:val="20"/>
                <w:lang w:eastAsia="en-GB"/>
              </w:rPr>
            </w:pPr>
            <w:r w:rsidRPr="001B4EC6">
              <w:rPr>
                <w:rFonts w:cs="Arial"/>
                <w:color w:val="404040"/>
                <w:szCs w:val="20"/>
                <w:lang w:eastAsia="en-GB"/>
              </w:rPr>
              <w:lastRenderedPageBreak/>
              <w:t>Kelly Kinsman</w:t>
            </w:r>
          </w:p>
        </w:tc>
        <w:tc>
          <w:tcPr>
            <w:tcW w:w="2500" w:type="pct"/>
            <w:tcBorders>
              <w:top w:val="single" w:sz="4" w:space="0" w:color="auto"/>
              <w:left w:val="single" w:sz="4" w:space="0" w:color="auto"/>
              <w:bottom w:val="single" w:sz="4" w:space="0" w:color="auto"/>
              <w:right w:val="single" w:sz="4" w:space="0" w:color="auto"/>
            </w:tcBorders>
            <w:hideMark/>
          </w:tcPr>
          <w:p w14:paraId="261AE9AA" w14:textId="77777777" w:rsidR="004E42D4" w:rsidRPr="001B4EC6" w:rsidRDefault="004E42D4" w:rsidP="00C27C3D">
            <w:pPr>
              <w:spacing w:before="30" w:after="30"/>
              <w:rPr>
                <w:rFonts w:cs="Times New Roman"/>
                <w:color w:val="404040"/>
                <w:lang w:eastAsia="en-GB"/>
              </w:rPr>
            </w:pPr>
            <w:r w:rsidRPr="001B4EC6">
              <w:rPr>
                <w:rFonts w:cs="Times New Roman"/>
                <w:color w:val="404040"/>
                <w:lang w:eastAsia="en-GB"/>
              </w:rPr>
              <w:t>WPD</w:t>
            </w:r>
          </w:p>
        </w:tc>
      </w:tr>
    </w:tbl>
    <w:p w14:paraId="45F336DE" w14:textId="77777777" w:rsidR="004E42D4" w:rsidRPr="004E42D4" w:rsidRDefault="004E42D4" w:rsidP="004E42D4"/>
    <w:p w14:paraId="5CF0E901" w14:textId="3785E331" w:rsidR="00E42FFB" w:rsidRPr="00F84DA6" w:rsidRDefault="000055AC" w:rsidP="00F84DA6">
      <w:pPr>
        <w:pStyle w:val="Subtitle"/>
      </w:pPr>
      <w:r w:rsidRPr="00F84DA6">
        <w:t>Overview</w:t>
      </w:r>
    </w:p>
    <w:p w14:paraId="3CF41113" w14:textId="73166FD5" w:rsidR="00E91C2A" w:rsidRDefault="00AD70B0" w:rsidP="000055AC">
      <w:r w:rsidRPr="00DC6FD5">
        <w:t xml:space="preserve">The Smart </w:t>
      </w:r>
      <w:r w:rsidR="00A001CC" w:rsidRPr="00DC6FD5">
        <w:t>E</w:t>
      </w:r>
      <w:r w:rsidRPr="00DC6FD5">
        <w:t>nergy Code Administrator and Secretariat (</w:t>
      </w:r>
      <w:r w:rsidR="000055AC" w:rsidRPr="00DC6FD5">
        <w:t>SECAS</w:t>
      </w:r>
      <w:r w:rsidRPr="00DC6FD5">
        <w:t>)</w:t>
      </w:r>
      <w:r w:rsidR="000055AC" w:rsidRPr="00DC6FD5">
        <w:t xml:space="preserve"> provided an overview of the issue identifie</w:t>
      </w:r>
      <w:r w:rsidR="00236F9F" w:rsidRPr="00DC6FD5">
        <w:t>d</w:t>
      </w:r>
      <w:r w:rsidR="00DC6FD5" w:rsidRPr="00DC6FD5">
        <w:t xml:space="preserve">, the </w:t>
      </w:r>
      <w:r w:rsidR="00991AA0">
        <w:t xml:space="preserve">Proposed Solution, an update to the legal text and </w:t>
      </w:r>
      <w:r w:rsidR="00AE2E9B">
        <w:t>Data Communications Company (</w:t>
      </w:r>
      <w:r w:rsidR="00991AA0">
        <w:t>DCC</w:t>
      </w:r>
      <w:r w:rsidR="00AE2E9B">
        <w:t>)</w:t>
      </w:r>
      <w:r w:rsidR="00991AA0">
        <w:t xml:space="preserve"> User Guidance </w:t>
      </w:r>
      <w:proofErr w:type="gramStart"/>
      <w:r w:rsidR="00991AA0">
        <w:t>document</w:t>
      </w:r>
      <w:r w:rsidR="00CC5CF2">
        <w:t>,</w:t>
      </w:r>
      <w:r w:rsidR="00DC6FD5" w:rsidRPr="00DC6FD5">
        <w:t xml:space="preserve"> and</w:t>
      </w:r>
      <w:proofErr w:type="gramEnd"/>
      <w:r w:rsidR="00DC6FD5" w:rsidRPr="00DC6FD5">
        <w:t xml:space="preserve"> proposed next steps.</w:t>
      </w:r>
      <w:r w:rsidR="00DC6FD5">
        <w:t xml:space="preserve"> </w:t>
      </w:r>
      <w:r w:rsidR="00DC6FD5">
        <w:br/>
      </w:r>
    </w:p>
    <w:p w14:paraId="4C3492B5" w14:textId="444172DE" w:rsidR="000055AC" w:rsidRDefault="000055AC" w:rsidP="00F556BC">
      <w:pPr>
        <w:pStyle w:val="Subheading"/>
      </w:pPr>
      <w:r w:rsidRPr="009949FA">
        <w:t>Issue</w:t>
      </w:r>
    </w:p>
    <w:p w14:paraId="78002B0D" w14:textId="77777777" w:rsidR="00663D43" w:rsidRDefault="00663D43" w:rsidP="00663D43">
      <w:pPr>
        <w:pStyle w:val="ListParagraph"/>
      </w:pPr>
      <w:r>
        <w:t>Every quarter each DCC User must submit an eight-month Service Request (SR) forecast stating how many SRs they anticipate they will send in the following eight months.</w:t>
      </w:r>
    </w:p>
    <w:p w14:paraId="398079A6" w14:textId="6E35E940" w:rsidR="00663D43" w:rsidRDefault="00663D43" w:rsidP="00663D43">
      <w:pPr>
        <w:pStyle w:val="ListParagraph"/>
      </w:pPr>
      <w:r>
        <w:t>Each forecast takes approximately two days to complete per DCC User.</w:t>
      </w:r>
    </w:p>
    <w:p w14:paraId="10C7ACC0" w14:textId="25422DEB" w:rsidR="00663D43" w:rsidRDefault="00663D43" w:rsidP="00663D43">
      <w:pPr>
        <w:pStyle w:val="ListParagraph"/>
      </w:pPr>
      <w:r>
        <w:t>Experience has shown that the forecasts submitted are often inaccurate.</w:t>
      </w:r>
    </w:p>
    <w:p w14:paraId="688911FC" w14:textId="77777777" w:rsidR="00991AA0" w:rsidRPr="00DC6FD5" w:rsidRDefault="00991AA0" w:rsidP="00F84DA6"/>
    <w:p w14:paraId="73BA90AD" w14:textId="14C75917" w:rsidR="008D0E77" w:rsidRDefault="00991AA0" w:rsidP="008D0E77">
      <w:pPr>
        <w:pStyle w:val="Subheading"/>
        <w:numPr>
          <w:ilvl w:val="0"/>
          <w:numId w:val="0"/>
        </w:numPr>
      </w:pPr>
      <w:r>
        <w:t xml:space="preserve">Proposed </w:t>
      </w:r>
      <w:r w:rsidR="008D0E77">
        <w:t>Solution</w:t>
      </w:r>
    </w:p>
    <w:p w14:paraId="7B59EB84" w14:textId="63763B2E" w:rsidR="00663D43" w:rsidRDefault="00663D43" w:rsidP="00663D43">
      <w:pPr>
        <w:pStyle w:val="ListParagraph"/>
        <w:numPr>
          <w:ilvl w:val="0"/>
          <w:numId w:val="6"/>
        </w:numPr>
      </w:pPr>
      <w:r>
        <w:t xml:space="preserve">The DCC will provide a report by the </w:t>
      </w:r>
      <w:r w:rsidRPr="00A001CC">
        <w:t xml:space="preserve">15th Working Day of the months of January, April, </w:t>
      </w:r>
      <w:proofErr w:type="gramStart"/>
      <w:r w:rsidRPr="00A001CC">
        <w:t>July</w:t>
      </w:r>
      <w:proofErr w:type="gramEnd"/>
      <w:r w:rsidRPr="00A001CC">
        <w:t xml:space="preserve"> and October. This will set out a forecast of the number of S</w:t>
      </w:r>
      <w:r w:rsidR="00CC5CF2">
        <w:t>R</w:t>
      </w:r>
      <w:r w:rsidRPr="00A001CC">
        <w:t xml:space="preserve">s that the DCC expect will be sent in each of the </w:t>
      </w:r>
      <w:r>
        <w:t>six</w:t>
      </w:r>
      <w:r w:rsidRPr="00A001CC">
        <w:t xml:space="preserve"> months following the end of the reported month</w:t>
      </w:r>
      <w:r>
        <w:t>.</w:t>
      </w:r>
    </w:p>
    <w:p w14:paraId="43AD1C4A" w14:textId="1B9DB66B" w:rsidR="00663D43" w:rsidRDefault="00663D43" w:rsidP="00663D43">
      <w:pPr>
        <w:pStyle w:val="ListParagraph"/>
        <w:numPr>
          <w:ilvl w:val="0"/>
          <w:numId w:val="6"/>
        </w:numPr>
      </w:pPr>
      <w:r>
        <w:t>T</w:t>
      </w:r>
      <w:r w:rsidRPr="00A001CC">
        <w:t xml:space="preserve">he DCC </w:t>
      </w:r>
      <w:r>
        <w:t>will</w:t>
      </w:r>
      <w:r w:rsidRPr="00A001CC">
        <w:t xml:space="preserve"> provide a report </w:t>
      </w:r>
      <w:r>
        <w:t>by no later than the</w:t>
      </w:r>
      <w:r w:rsidRPr="00A001CC">
        <w:t xml:space="preserve"> 10th Working Day following the end of the month that sets out the number of </w:t>
      </w:r>
      <w:r w:rsidR="00CC5CF2">
        <w:t>SRs</w:t>
      </w:r>
      <w:r w:rsidRPr="00A001CC">
        <w:t xml:space="preserve"> sent during that month, a report setting out the current value for every Monthly Service Metric and a comparison of the current value against the relevant Monthly Service Threshold</w:t>
      </w:r>
      <w:r>
        <w:t>.</w:t>
      </w:r>
    </w:p>
    <w:p w14:paraId="63232E1A" w14:textId="3CD9EB11" w:rsidR="00663D43" w:rsidRDefault="00663D43" w:rsidP="00663D43">
      <w:pPr>
        <w:pStyle w:val="ListParagraph"/>
        <w:numPr>
          <w:ilvl w:val="0"/>
          <w:numId w:val="6"/>
        </w:numPr>
      </w:pPr>
      <w:r w:rsidRPr="00A001CC">
        <w:t xml:space="preserve">The DCC </w:t>
      </w:r>
      <w:r>
        <w:t xml:space="preserve">will </w:t>
      </w:r>
      <w:r w:rsidRPr="00A001CC">
        <w:t xml:space="preserve">provide a report to the </w:t>
      </w:r>
      <w:r>
        <w:t>Smart Energy Code (</w:t>
      </w:r>
      <w:r w:rsidRPr="00A001CC">
        <w:t>SEC</w:t>
      </w:r>
      <w:r>
        <w:t>)</w:t>
      </w:r>
      <w:r w:rsidRPr="00A001CC">
        <w:t xml:space="preserve"> Panel that sets out the aggregate number of </w:t>
      </w:r>
      <w:r w:rsidR="00CC5CF2">
        <w:t>SRs</w:t>
      </w:r>
      <w:r w:rsidRPr="00A001CC">
        <w:t xml:space="preserve"> sent by all Users collectively during that month. Comparisons between actual numbers and the most recent forecast will be included</w:t>
      </w:r>
      <w:r>
        <w:t>.</w:t>
      </w:r>
    </w:p>
    <w:p w14:paraId="57AC98E0" w14:textId="3D3A4FBD" w:rsidR="00663D43" w:rsidRDefault="00663D43" w:rsidP="00663D43">
      <w:pPr>
        <w:pStyle w:val="ListParagraph"/>
        <w:numPr>
          <w:ilvl w:val="0"/>
          <w:numId w:val="6"/>
        </w:numPr>
      </w:pPr>
      <w:r w:rsidRPr="00A001CC">
        <w:t xml:space="preserve">The DCC </w:t>
      </w:r>
      <w:r>
        <w:t>will</w:t>
      </w:r>
      <w:r w:rsidRPr="00A001CC">
        <w:t xml:space="preserve"> provide commentary for any identified reasons why the expected level of accuracy has not been met</w:t>
      </w:r>
      <w:r>
        <w:t>.</w:t>
      </w:r>
    </w:p>
    <w:p w14:paraId="1371A5C4" w14:textId="0111E3A0" w:rsidR="00663D43" w:rsidRDefault="00663D43" w:rsidP="00663D43">
      <w:pPr>
        <w:pStyle w:val="ListParagraph"/>
        <w:numPr>
          <w:ilvl w:val="0"/>
          <w:numId w:val="6"/>
        </w:numPr>
      </w:pPr>
      <w:r>
        <w:t>DCC Users will be requested to feed into the DCC forecasts and make the DCC aware of any scenarios that could result in an increased number of Service Requests being sent as per the DCC Guidance document.</w:t>
      </w:r>
    </w:p>
    <w:p w14:paraId="795EAB6E" w14:textId="4806AA5B" w:rsidR="00991AA0" w:rsidRDefault="00991AA0" w:rsidP="00991AA0"/>
    <w:p w14:paraId="42C23D06" w14:textId="77777777" w:rsidR="00537D1A" w:rsidRDefault="00537D1A" w:rsidP="00991AA0"/>
    <w:p w14:paraId="158BA7C8" w14:textId="22362A20" w:rsidR="00991AA0" w:rsidRDefault="00991AA0" w:rsidP="00991AA0">
      <w:pPr>
        <w:pStyle w:val="Subheading"/>
        <w:numPr>
          <w:ilvl w:val="0"/>
          <w:numId w:val="0"/>
        </w:numPr>
      </w:pPr>
      <w:r>
        <w:t xml:space="preserve">Updated </w:t>
      </w:r>
      <w:proofErr w:type="gramStart"/>
      <w:r>
        <w:t>documents</w:t>
      </w:r>
      <w:proofErr w:type="gramEnd"/>
    </w:p>
    <w:p w14:paraId="12FACF7D" w14:textId="19D5C68D" w:rsidR="00991AA0" w:rsidRDefault="00991AA0" w:rsidP="00991AA0">
      <w:pPr>
        <w:pStyle w:val="ListParagraph"/>
      </w:pPr>
      <w:r>
        <w:t>Draft legal text</w:t>
      </w:r>
    </w:p>
    <w:p w14:paraId="392ED91A" w14:textId="242C0160" w:rsidR="00991AA0" w:rsidRDefault="00663D43" w:rsidP="00991AA0">
      <w:pPr>
        <w:pStyle w:val="ListParagraph"/>
        <w:numPr>
          <w:ilvl w:val="1"/>
          <w:numId w:val="3"/>
        </w:numPr>
      </w:pPr>
      <w:r>
        <w:t>Version 0.5 of the legal text has been drafted by SECAS Lawyers.</w:t>
      </w:r>
    </w:p>
    <w:p w14:paraId="473D74D9" w14:textId="32B11FE7" w:rsidR="00AE2E9B" w:rsidRDefault="00AE2E9B" w:rsidP="00991AA0">
      <w:pPr>
        <w:pStyle w:val="ListParagraph"/>
        <w:numPr>
          <w:ilvl w:val="1"/>
          <w:numId w:val="3"/>
        </w:numPr>
      </w:pPr>
      <w:r>
        <w:t>SECAS have worked with the DCC and SECAS Lawyers to address (where applicable) comments provided by two Working Group members</w:t>
      </w:r>
      <w:r w:rsidR="00446BBC">
        <w:t xml:space="preserve"> </w:t>
      </w:r>
      <w:r w:rsidR="008B7479">
        <w:t>following</w:t>
      </w:r>
      <w:r w:rsidR="00446BBC">
        <w:t xml:space="preserve"> the </w:t>
      </w:r>
      <w:r w:rsidR="008B7479">
        <w:t>May 2021</w:t>
      </w:r>
      <w:r w:rsidR="00446BBC">
        <w:t xml:space="preserve"> Working Group</w:t>
      </w:r>
      <w:r>
        <w:t>.</w:t>
      </w:r>
    </w:p>
    <w:p w14:paraId="7CD881DD" w14:textId="516487C9" w:rsidR="00AE2E9B" w:rsidRDefault="00AE2E9B" w:rsidP="00991AA0">
      <w:pPr>
        <w:pStyle w:val="ListParagraph"/>
        <w:numPr>
          <w:ilvl w:val="1"/>
          <w:numId w:val="3"/>
        </w:numPr>
      </w:pPr>
      <w:r>
        <w:lastRenderedPageBreak/>
        <w:t>Forecasts are no longer referred to when setting Anomaly Detection Thresholds (ADTs).</w:t>
      </w:r>
    </w:p>
    <w:p w14:paraId="6F41D0C1" w14:textId="4AF26649" w:rsidR="00991AA0" w:rsidRDefault="00991AA0" w:rsidP="00991AA0">
      <w:pPr>
        <w:ind w:left="360"/>
      </w:pPr>
    </w:p>
    <w:p w14:paraId="504AE732" w14:textId="7E368039" w:rsidR="00991AA0" w:rsidRDefault="00991AA0" w:rsidP="00991AA0">
      <w:pPr>
        <w:pStyle w:val="ListParagraph"/>
      </w:pPr>
      <w:r>
        <w:t>DCC User Guidance document</w:t>
      </w:r>
    </w:p>
    <w:p w14:paraId="0BE20418" w14:textId="0F1BB429" w:rsidR="00991AA0" w:rsidRDefault="00AE2E9B" w:rsidP="00991AA0">
      <w:pPr>
        <w:pStyle w:val="ListParagraph"/>
        <w:numPr>
          <w:ilvl w:val="1"/>
          <w:numId w:val="3"/>
        </w:numPr>
      </w:pPr>
      <w:r>
        <w:t>DCC have provided an updated document that has addressed (where applicable) the comments provided by two Working Group members.</w:t>
      </w:r>
    </w:p>
    <w:p w14:paraId="34DB3939" w14:textId="18399A28" w:rsidR="00CC5CF2" w:rsidRDefault="00CC5CF2" w:rsidP="00991AA0">
      <w:pPr>
        <w:pStyle w:val="ListParagraph"/>
        <w:numPr>
          <w:ilvl w:val="1"/>
          <w:numId w:val="3"/>
        </w:numPr>
      </w:pPr>
      <w:r w:rsidRPr="00CC5CF2">
        <w:t xml:space="preserve">The DCC asks that Users support the production of these Service Request </w:t>
      </w:r>
      <w:r w:rsidR="00455AEA">
        <w:t>f</w:t>
      </w:r>
      <w:r w:rsidRPr="00CC5CF2">
        <w:t>orecasts through their insight and guidance to maintain the monthly accuracy target of +/-10%.</w:t>
      </w:r>
    </w:p>
    <w:p w14:paraId="74DBAECB" w14:textId="09AC0039" w:rsidR="00455AEA" w:rsidRDefault="00455AEA" w:rsidP="00991AA0">
      <w:pPr>
        <w:pStyle w:val="ListParagraph"/>
        <w:numPr>
          <w:ilvl w:val="1"/>
          <w:numId w:val="3"/>
        </w:numPr>
      </w:pPr>
      <w:r w:rsidRPr="00455AEA">
        <w:t xml:space="preserve">Users are asked to notify the DCC of expected future changes in their daily/monthly distribution or daily/monthly aggregate Service Request volumes, that a </w:t>
      </w:r>
      <w:proofErr w:type="gramStart"/>
      <w:r w:rsidRPr="00455AEA">
        <w:t>User</w:t>
      </w:r>
      <w:proofErr w:type="gramEnd"/>
      <w:r w:rsidRPr="00455AEA">
        <w:t xml:space="preserve"> judges could impact the published forecast accuracy target of +/-10%. The DCC will include guidance threshold values in the Service Request Forecast report to support Users in identifying these changes. The DCC will publish a dedicated email address to enable Users to notify the DCC</w:t>
      </w:r>
      <w:r>
        <w:t>.</w:t>
      </w:r>
    </w:p>
    <w:p w14:paraId="26914A2C" w14:textId="48361587" w:rsidR="00455AEA" w:rsidRPr="00991AA0" w:rsidRDefault="00455AEA" w:rsidP="00991AA0">
      <w:pPr>
        <w:pStyle w:val="ListParagraph"/>
        <w:numPr>
          <w:ilvl w:val="1"/>
          <w:numId w:val="3"/>
        </w:numPr>
      </w:pPr>
      <w:r w:rsidRPr="00455AEA">
        <w:t>Users are asked to notify the DCC of changes to their meter installation capacity of more than +/-10 % to aid forecasts of meter installations.</w:t>
      </w:r>
    </w:p>
    <w:p w14:paraId="2B6EF98F" w14:textId="020F8EE3" w:rsidR="00B63825" w:rsidRDefault="00B63825" w:rsidP="00B63825">
      <w:pPr>
        <w:pStyle w:val="Subtitle"/>
      </w:pPr>
      <w:r>
        <w:t>Working Group Discussion</w:t>
      </w:r>
    </w:p>
    <w:p w14:paraId="7F6CCF76" w14:textId="1E658CAB" w:rsidR="00155205" w:rsidRDefault="00F142C4" w:rsidP="00F85CE1">
      <w:r>
        <w:t xml:space="preserve">SECAS provided an overview of the meeting objectives, the </w:t>
      </w:r>
      <w:proofErr w:type="gramStart"/>
      <w:r>
        <w:t>issue</w:t>
      </w:r>
      <w:proofErr w:type="gramEnd"/>
      <w:r>
        <w:t xml:space="preserve"> and Proposed Solution.</w:t>
      </w:r>
    </w:p>
    <w:p w14:paraId="38D24879" w14:textId="66B8D11A" w:rsidR="00F142C4" w:rsidRDefault="00F142C4" w:rsidP="00F85CE1">
      <w:r>
        <w:t xml:space="preserve">SECAS informed the Working Group that they had engaged with SECAS Lawyers to help </w:t>
      </w:r>
      <w:r w:rsidR="00CF462F">
        <w:t xml:space="preserve">address previous comments raised by the Working Group. This has resulted in a significant re-write of the legal text. SECAS Lawyers have proposed amending SEC Section G ‘Security’ to remove the reference to Service Request forecasts when setting ADTs. A Working Group member queried the impact of this proposed change. They stated that ADTs </w:t>
      </w:r>
      <w:r w:rsidR="001E2266">
        <w:t>fulfil</w:t>
      </w:r>
      <w:r w:rsidR="00CF462F">
        <w:t xml:space="preserve"> a specific </w:t>
      </w:r>
      <w:r w:rsidR="00446BBC">
        <w:t>purpose,</w:t>
      </w:r>
      <w:r w:rsidR="00CF462F">
        <w:t xml:space="preserve"> and a potential risk may arise if they are not linked to predicted volumes of traffic.</w:t>
      </w:r>
      <w:r w:rsidR="003C5060">
        <w:t xml:space="preserve"> The Working Group commented that the impact is hard to quantify without the Proposed Solution being implemented.</w:t>
      </w:r>
    </w:p>
    <w:p w14:paraId="27B96E01" w14:textId="2479BC29" w:rsidR="007D4C67" w:rsidRDefault="007D4C67" w:rsidP="00F85CE1">
      <w:r>
        <w:t>SECAS notified the Working Group that the DCC ha</w:t>
      </w:r>
      <w:r w:rsidR="00BF56D2">
        <w:t>s</w:t>
      </w:r>
      <w:r>
        <w:t xml:space="preserve"> provided a new version of the DCC User Guidance Document. The document has been classified as GREEN due to it containing volumes of the top 30 most used SRVs. This is also the case for the </w:t>
      </w:r>
      <w:r w:rsidR="001E2266">
        <w:t>candidate SRVs (this list consists of the following 30 most used SRVs that Users may want to factor in when feeding into the forecast as per the User guidance).</w:t>
      </w:r>
    </w:p>
    <w:p w14:paraId="0289A6D3" w14:textId="3B15467E" w:rsidR="001E2266" w:rsidRDefault="001E2266" w:rsidP="00F85CE1">
      <w:r>
        <w:t>Several Working Group members stated that they had not reviewed the document as it was not included with the documents classified as WHITE. The Working Group agreed that the volumes of the SRVs can be removed to change the classification of the document.</w:t>
      </w:r>
    </w:p>
    <w:p w14:paraId="3A3E1B27" w14:textId="3EAABCF5" w:rsidR="001E2266" w:rsidRDefault="001E2266" w:rsidP="00F85CE1">
      <w:r>
        <w:t xml:space="preserve">The Working Group agreed that once the changes have been made, the Refinement Consultation can be issued. SECAS will then </w:t>
      </w:r>
      <w:r w:rsidR="00BF56D2">
        <w:t xml:space="preserve">collate and </w:t>
      </w:r>
      <w:r>
        <w:t xml:space="preserve">review the consultation responses before returning to the Working Group. </w:t>
      </w:r>
    </w:p>
    <w:p w14:paraId="776BDF4E" w14:textId="77777777" w:rsidR="00490947" w:rsidRDefault="00490947" w:rsidP="00F556BC">
      <w:pPr>
        <w:pStyle w:val="Subtitle"/>
      </w:pPr>
      <w:r>
        <w:t>Next Steps</w:t>
      </w:r>
    </w:p>
    <w:p w14:paraId="0062A635" w14:textId="6CCCE1CD" w:rsidR="00490947" w:rsidRDefault="00490947" w:rsidP="00490947">
      <w:pPr>
        <w:rPr>
          <w:szCs w:val="20"/>
        </w:rPr>
      </w:pPr>
      <w:r>
        <w:rPr>
          <w:szCs w:val="20"/>
        </w:rPr>
        <w:t>The following action</w:t>
      </w:r>
      <w:r w:rsidR="000126A7">
        <w:rPr>
          <w:szCs w:val="20"/>
        </w:rPr>
        <w:t>s</w:t>
      </w:r>
      <w:r>
        <w:rPr>
          <w:szCs w:val="20"/>
        </w:rPr>
        <w:t xml:space="preserve"> </w:t>
      </w:r>
      <w:r w:rsidR="009949FA">
        <w:rPr>
          <w:szCs w:val="20"/>
        </w:rPr>
        <w:t xml:space="preserve">were </w:t>
      </w:r>
      <w:r>
        <w:rPr>
          <w:szCs w:val="20"/>
        </w:rPr>
        <w:t>recorded from the meeting:</w:t>
      </w:r>
    </w:p>
    <w:p w14:paraId="6F21A8DA" w14:textId="3C07D8B8" w:rsidR="005835C1" w:rsidRDefault="00473872" w:rsidP="007D5951">
      <w:pPr>
        <w:pStyle w:val="ListParagraph"/>
        <w:numPr>
          <w:ilvl w:val="0"/>
          <w:numId w:val="10"/>
        </w:numPr>
        <w:ind w:left="360"/>
      </w:pPr>
      <w:r>
        <w:lastRenderedPageBreak/>
        <w:t xml:space="preserve">DCC to update guidance document to list the 30 SRVs and the next 30 SRVs, without volumes, in order to make the document WHITE </w:t>
      </w:r>
      <w:proofErr w:type="gramStart"/>
      <w:r>
        <w:t>classification;</w:t>
      </w:r>
      <w:proofErr w:type="gramEnd"/>
    </w:p>
    <w:p w14:paraId="67B0009B" w14:textId="3C57BD83" w:rsidR="00473872" w:rsidRDefault="00473872" w:rsidP="007D5951">
      <w:pPr>
        <w:pStyle w:val="ListParagraph"/>
        <w:numPr>
          <w:ilvl w:val="0"/>
          <w:numId w:val="10"/>
        </w:numPr>
        <w:ind w:left="360"/>
      </w:pPr>
      <w:r>
        <w:t>SECAS to issue the MP116 Refinement Consultation; and</w:t>
      </w:r>
    </w:p>
    <w:p w14:paraId="0D0E2FD2" w14:textId="52D183FF" w:rsidR="00473872" w:rsidRPr="00635617" w:rsidRDefault="00473872" w:rsidP="007D5951">
      <w:pPr>
        <w:pStyle w:val="ListParagraph"/>
        <w:numPr>
          <w:ilvl w:val="0"/>
          <w:numId w:val="10"/>
        </w:numPr>
        <w:ind w:left="360"/>
      </w:pPr>
      <w:r>
        <w:t>SECAS to discuss the Refinement Consultation responses with the Working Group</w:t>
      </w:r>
      <w:r w:rsidR="00446BBC">
        <w:t xml:space="preserve"> once the Refinement Consultation has concluded</w:t>
      </w:r>
      <w:r>
        <w:t>.</w:t>
      </w:r>
    </w:p>
    <w:sectPr w:rsidR="00473872" w:rsidRPr="00635617" w:rsidSect="00633F6B">
      <w:headerReference w:type="default" r:id="rId8"/>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7DA1B" w14:textId="77777777" w:rsidR="00FB6C52" w:rsidRDefault="00FB6C52" w:rsidP="004F458B">
      <w:pPr>
        <w:spacing w:after="0" w:line="240" w:lineRule="auto"/>
      </w:pPr>
      <w:r>
        <w:separator/>
      </w:r>
    </w:p>
  </w:endnote>
  <w:endnote w:type="continuationSeparator" w:id="0">
    <w:p w14:paraId="7207AE99" w14:textId="77777777" w:rsidR="00FB6C52" w:rsidRDefault="00FB6C52" w:rsidP="004F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5"/>
      <w:gridCol w:w="3034"/>
      <w:gridCol w:w="2997"/>
    </w:tblGrid>
    <w:tr w:rsidR="00800AF2" w:rsidRPr="00633F6B" w14:paraId="28F8F56D" w14:textId="77777777" w:rsidTr="00481DA5">
      <w:trPr>
        <w:trHeight w:val="77"/>
      </w:trPr>
      <w:tc>
        <w:tcPr>
          <w:tcW w:w="2995" w:type="dxa"/>
        </w:tcPr>
        <w:p w14:paraId="2C947513" w14:textId="68B072BA" w:rsidR="00800AF2" w:rsidRPr="00633F6B" w:rsidRDefault="00800AF2" w:rsidP="000D492D">
          <w:pPr>
            <w:pStyle w:val="Footer"/>
            <w:rPr>
              <w:rFonts w:cs="Arial"/>
              <w:color w:val="595959" w:themeColor="text1" w:themeTint="A6"/>
              <w:sz w:val="16"/>
              <w:szCs w:val="16"/>
            </w:rPr>
          </w:pPr>
        </w:p>
      </w:tc>
      <w:tc>
        <w:tcPr>
          <w:tcW w:w="3034" w:type="dxa"/>
          <w:vMerge w:val="restart"/>
          <w:vAlign w:val="center"/>
        </w:tcPr>
        <w:p w14:paraId="565C2727" w14:textId="77777777" w:rsidR="00800AF2" w:rsidRPr="00633F6B" w:rsidRDefault="00B13710" w:rsidP="00B13710">
          <w:pPr>
            <w:pStyle w:val="Footer"/>
            <w:jc w:val="center"/>
            <w:rPr>
              <w:rFonts w:cs="Arial"/>
              <w:color w:val="595959" w:themeColor="text1" w:themeTint="A6"/>
              <w:sz w:val="16"/>
              <w:szCs w:val="16"/>
            </w:rPr>
          </w:pPr>
          <w:r>
            <w:rPr>
              <w:noProof/>
            </w:rPr>
            <w:drawing>
              <wp:inline distT="0" distB="0" distL="0" distR="0" wp14:anchorId="7B478782" wp14:editId="022673ED">
                <wp:extent cx="1170579" cy="68040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579" cy="680400"/>
                        </a:xfrm>
                        <a:prstGeom prst="rect">
                          <a:avLst/>
                        </a:prstGeom>
                        <a:noFill/>
                        <a:ln>
                          <a:noFill/>
                        </a:ln>
                      </pic:spPr>
                    </pic:pic>
                  </a:graphicData>
                </a:graphic>
              </wp:inline>
            </w:drawing>
          </w:r>
        </w:p>
      </w:tc>
      <w:tc>
        <w:tcPr>
          <w:tcW w:w="2997" w:type="dxa"/>
        </w:tcPr>
        <w:p w14:paraId="2856E76C" w14:textId="77777777" w:rsidR="00800AF2" w:rsidRPr="00633F6B" w:rsidRDefault="00800AF2" w:rsidP="00633F6B">
          <w:pPr>
            <w:pStyle w:val="Footer"/>
            <w:jc w:val="right"/>
            <w:rPr>
              <w:rFonts w:cs="Arial"/>
              <w:color w:val="595959" w:themeColor="text1" w:themeTint="A6"/>
              <w:sz w:val="16"/>
              <w:szCs w:val="16"/>
            </w:rPr>
          </w:pPr>
        </w:p>
      </w:tc>
    </w:tr>
    <w:tr w:rsidR="00800AF2" w:rsidRPr="00633F6B" w14:paraId="0F18E0D4" w14:textId="77777777" w:rsidTr="00800AF2">
      <w:trPr>
        <w:trHeight w:val="540"/>
      </w:trPr>
      <w:tc>
        <w:tcPr>
          <w:tcW w:w="2995" w:type="dxa"/>
        </w:tcPr>
        <w:p w14:paraId="71EC0C3E" w14:textId="3021E8B9" w:rsidR="00800AF2" w:rsidRDefault="00800AF2" w:rsidP="000D492D">
          <w:pPr>
            <w:pStyle w:val="Footer"/>
            <w:rPr>
              <w:rFonts w:cs="Arial"/>
              <w:color w:val="595959" w:themeColor="text1" w:themeTint="A6"/>
              <w:sz w:val="16"/>
              <w:szCs w:val="16"/>
            </w:rPr>
          </w:pPr>
          <w:r>
            <w:rPr>
              <w:rFonts w:cs="Arial"/>
              <w:color w:val="595959" w:themeColor="text1" w:themeTint="A6"/>
              <w:sz w:val="16"/>
              <w:szCs w:val="16"/>
            </w:rPr>
            <w:t>MP</w:t>
          </w:r>
          <w:r w:rsidR="004D3C8F">
            <w:rPr>
              <w:rFonts w:cs="Arial"/>
              <w:color w:val="595959" w:themeColor="text1" w:themeTint="A6"/>
              <w:sz w:val="16"/>
              <w:szCs w:val="16"/>
            </w:rPr>
            <w:t>1</w:t>
          </w:r>
          <w:r w:rsidR="009E20CC">
            <w:rPr>
              <w:rFonts w:cs="Arial"/>
              <w:color w:val="595959" w:themeColor="text1" w:themeTint="A6"/>
              <w:sz w:val="16"/>
              <w:szCs w:val="16"/>
            </w:rPr>
            <w:t>16</w:t>
          </w:r>
          <w:r w:rsidR="00EB51D0">
            <w:rPr>
              <w:rFonts w:cs="Arial"/>
              <w:color w:val="595959" w:themeColor="text1" w:themeTint="A6"/>
              <w:sz w:val="16"/>
              <w:szCs w:val="16"/>
            </w:rPr>
            <w:t xml:space="preserve"> </w:t>
          </w:r>
          <w:r w:rsidR="00B13710">
            <w:rPr>
              <w:rFonts w:cs="Arial"/>
              <w:color w:val="595959" w:themeColor="text1" w:themeTint="A6"/>
              <w:sz w:val="16"/>
              <w:szCs w:val="16"/>
            </w:rPr>
            <w:t xml:space="preserve">– </w:t>
          </w:r>
          <w:r w:rsidR="00913553">
            <w:rPr>
              <w:rFonts w:cs="Arial"/>
              <w:color w:val="595959" w:themeColor="text1" w:themeTint="A6"/>
              <w:sz w:val="16"/>
              <w:szCs w:val="16"/>
            </w:rPr>
            <w:t>Ju</w:t>
          </w:r>
          <w:r w:rsidR="00B63825">
            <w:rPr>
              <w:rFonts w:cs="Arial"/>
              <w:color w:val="595959" w:themeColor="text1" w:themeTint="A6"/>
              <w:sz w:val="16"/>
              <w:szCs w:val="16"/>
            </w:rPr>
            <w:t>ly</w:t>
          </w:r>
          <w:r w:rsidR="003B12CA">
            <w:rPr>
              <w:rFonts w:cs="Arial"/>
              <w:color w:val="595959" w:themeColor="text1" w:themeTint="A6"/>
              <w:sz w:val="16"/>
              <w:szCs w:val="16"/>
            </w:rPr>
            <w:t xml:space="preserve"> 2021</w:t>
          </w:r>
          <w:r w:rsidR="00F8182D">
            <w:rPr>
              <w:rFonts w:cs="Arial"/>
              <w:color w:val="595959" w:themeColor="text1" w:themeTint="A6"/>
              <w:sz w:val="16"/>
              <w:szCs w:val="16"/>
            </w:rPr>
            <w:t xml:space="preserve"> </w:t>
          </w:r>
          <w:r>
            <w:rPr>
              <w:rFonts w:cs="Arial"/>
              <w:color w:val="595959" w:themeColor="text1" w:themeTint="A6"/>
              <w:sz w:val="16"/>
              <w:szCs w:val="16"/>
            </w:rPr>
            <w:t xml:space="preserve">Working Group </w:t>
          </w:r>
          <w:r w:rsidR="00B13710">
            <w:rPr>
              <w:rFonts w:cs="Arial"/>
              <w:color w:val="595959" w:themeColor="text1" w:themeTint="A6"/>
              <w:sz w:val="16"/>
              <w:szCs w:val="16"/>
            </w:rPr>
            <w:t>m</w:t>
          </w:r>
          <w:r>
            <w:rPr>
              <w:rFonts w:cs="Arial"/>
              <w:color w:val="595959" w:themeColor="text1" w:themeTint="A6"/>
              <w:sz w:val="16"/>
              <w:szCs w:val="16"/>
            </w:rPr>
            <w:t xml:space="preserve">eeting </w:t>
          </w:r>
          <w:r w:rsidR="00B13710">
            <w:rPr>
              <w:rFonts w:cs="Arial"/>
              <w:color w:val="595959" w:themeColor="text1" w:themeTint="A6"/>
              <w:sz w:val="16"/>
              <w:szCs w:val="16"/>
            </w:rPr>
            <w:t>s</w:t>
          </w:r>
          <w:r>
            <w:rPr>
              <w:rFonts w:cs="Arial"/>
              <w:color w:val="595959" w:themeColor="text1" w:themeTint="A6"/>
              <w:sz w:val="16"/>
              <w:szCs w:val="16"/>
            </w:rPr>
            <w:t>ummary</w:t>
          </w:r>
        </w:p>
      </w:tc>
      <w:tc>
        <w:tcPr>
          <w:tcW w:w="3034" w:type="dxa"/>
          <w:vMerge/>
        </w:tcPr>
        <w:p w14:paraId="079EA8D4" w14:textId="77777777" w:rsidR="00800AF2" w:rsidRDefault="00800AF2" w:rsidP="00633F6B">
          <w:pPr>
            <w:pStyle w:val="Footer"/>
            <w:jc w:val="center"/>
            <w:rPr>
              <w:noProof/>
              <w:lang w:eastAsia="en-GB"/>
            </w:rPr>
          </w:pPr>
        </w:p>
      </w:tc>
      <w:tc>
        <w:tcPr>
          <w:tcW w:w="2997" w:type="dxa"/>
        </w:tcPr>
        <w:p w14:paraId="6CBF7BB2" w14:textId="77777777" w:rsidR="00800AF2" w:rsidRDefault="00800AF2" w:rsidP="00800AF2">
          <w:pPr>
            <w:pStyle w:val="Footer"/>
            <w:jc w:val="right"/>
            <w:rPr>
              <w:rFonts w:cs="Arial"/>
              <w:color w:val="595959" w:themeColor="text1" w:themeTint="A6"/>
              <w:sz w:val="16"/>
              <w:szCs w:val="16"/>
            </w:rPr>
          </w:pPr>
          <w:r w:rsidRPr="00633F6B">
            <w:rPr>
              <w:rFonts w:cs="Arial"/>
              <w:color w:val="595959" w:themeColor="text1" w:themeTint="A6"/>
              <w:sz w:val="16"/>
              <w:szCs w:val="16"/>
            </w:rPr>
            <w:t xml:space="preserve">Page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PAGE </w:instrText>
          </w:r>
          <w:r w:rsidRPr="00633F6B">
            <w:rPr>
              <w:rFonts w:cs="Arial"/>
              <w:color w:val="595959" w:themeColor="text1" w:themeTint="A6"/>
              <w:sz w:val="16"/>
              <w:szCs w:val="16"/>
            </w:rPr>
            <w:fldChar w:fldCharType="separate"/>
          </w:r>
          <w:r>
            <w:rPr>
              <w:rFonts w:cs="Arial"/>
              <w:color w:val="595959" w:themeColor="text1" w:themeTint="A6"/>
              <w:sz w:val="16"/>
              <w:szCs w:val="16"/>
            </w:rPr>
            <w:t>1</w:t>
          </w:r>
          <w:r w:rsidRPr="00633F6B">
            <w:rPr>
              <w:rFonts w:cs="Arial"/>
              <w:color w:val="595959" w:themeColor="text1" w:themeTint="A6"/>
              <w:sz w:val="16"/>
              <w:szCs w:val="16"/>
            </w:rPr>
            <w:fldChar w:fldCharType="end"/>
          </w:r>
          <w:r w:rsidRPr="00633F6B">
            <w:rPr>
              <w:rFonts w:cs="Arial"/>
              <w:color w:val="595959" w:themeColor="text1" w:themeTint="A6"/>
              <w:sz w:val="16"/>
              <w:szCs w:val="16"/>
            </w:rPr>
            <w:t xml:space="preserve"> of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NUMPAGES  </w:instrText>
          </w:r>
          <w:r w:rsidRPr="00633F6B">
            <w:rPr>
              <w:rFonts w:cs="Arial"/>
              <w:color w:val="595959" w:themeColor="text1" w:themeTint="A6"/>
              <w:sz w:val="16"/>
              <w:szCs w:val="16"/>
            </w:rPr>
            <w:fldChar w:fldCharType="separate"/>
          </w:r>
          <w:r>
            <w:rPr>
              <w:rFonts w:cs="Arial"/>
              <w:color w:val="595959" w:themeColor="text1" w:themeTint="A6"/>
              <w:sz w:val="16"/>
              <w:szCs w:val="16"/>
            </w:rPr>
            <w:t>1</w:t>
          </w:r>
          <w:r w:rsidRPr="00633F6B">
            <w:rPr>
              <w:rFonts w:cs="Arial"/>
              <w:color w:val="595959" w:themeColor="text1" w:themeTint="A6"/>
              <w:sz w:val="16"/>
              <w:szCs w:val="16"/>
            </w:rPr>
            <w:fldChar w:fldCharType="end"/>
          </w:r>
        </w:p>
        <w:p w14:paraId="08F93BBA" w14:textId="77777777" w:rsidR="00800AF2" w:rsidRDefault="00800AF2" w:rsidP="00800AF2">
          <w:pPr>
            <w:pStyle w:val="Footer"/>
            <w:jc w:val="right"/>
            <w:rPr>
              <w:rFonts w:cs="Arial"/>
              <w:color w:val="595959" w:themeColor="text1" w:themeTint="A6"/>
              <w:sz w:val="16"/>
              <w:szCs w:val="16"/>
            </w:rPr>
          </w:pPr>
        </w:p>
        <w:p w14:paraId="5C74FCF3" w14:textId="77777777" w:rsidR="00800AF2" w:rsidRPr="00633F6B" w:rsidRDefault="00800AF2" w:rsidP="00800AF2">
          <w:pPr>
            <w:pStyle w:val="Footer"/>
            <w:jc w:val="right"/>
            <w:rPr>
              <w:rFonts w:cs="Arial"/>
              <w:color w:val="595959" w:themeColor="text1" w:themeTint="A6"/>
              <w:sz w:val="16"/>
              <w:szCs w:val="16"/>
            </w:rPr>
          </w:pPr>
          <w:r>
            <w:rPr>
              <w:rFonts w:cs="Arial"/>
              <w:b/>
              <w:color w:val="595959" w:themeColor="text1" w:themeTint="A6"/>
              <w:sz w:val="16"/>
              <w:szCs w:val="16"/>
            </w:rPr>
            <w:t xml:space="preserve">This document has a Classification of </w:t>
          </w:r>
          <w:r w:rsidRPr="003423F3">
            <w:rPr>
              <w:rFonts w:cs="Arial"/>
              <w:b/>
              <w:color w:val="auto"/>
              <w:sz w:val="16"/>
              <w:szCs w:val="16"/>
            </w:rPr>
            <w:t>White</w:t>
          </w:r>
        </w:p>
      </w:tc>
    </w:tr>
  </w:tbl>
  <w:p w14:paraId="4875E3BB" w14:textId="77777777" w:rsidR="00DB0807" w:rsidRPr="00633F6B" w:rsidRDefault="00DB0807" w:rsidP="00633F6B">
    <w:pPr>
      <w:pStyle w:val="Footer"/>
      <w:spacing w:after="120"/>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B9A83" w14:textId="77777777" w:rsidR="00FB6C52" w:rsidRDefault="00FB6C52" w:rsidP="004F458B">
      <w:pPr>
        <w:spacing w:after="0" w:line="240" w:lineRule="auto"/>
      </w:pPr>
      <w:r>
        <w:separator/>
      </w:r>
    </w:p>
  </w:footnote>
  <w:footnote w:type="continuationSeparator" w:id="0">
    <w:p w14:paraId="072ADF65" w14:textId="77777777" w:rsidR="00FB6C52" w:rsidRDefault="00FB6C52" w:rsidP="004F4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39519" w14:textId="77777777" w:rsidR="003E558E" w:rsidRDefault="003E558E" w:rsidP="003E558E">
    <w:pPr>
      <w:pStyle w:val="Header"/>
      <w:jc w:val="right"/>
    </w:pPr>
    <w:r w:rsidRPr="003E558E">
      <w:rPr>
        <w:noProof/>
        <w:lang w:eastAsia="en-GB"/>
      </w:rPr>
      <w:drawing>
        <wp:inline distT="0" distB="0" distL="0" distR="0" wp14:anchorId="182DE48E" wp14:editId="33A5D0C9">
          <wp:extent cx="1457325" cy="1047750"/>
          <wp:effectExtent l="19050" t="0" r="9525" b="0"/>
          <wp:docPr id="4" name="Picture 4" descr="C:\Users\catherine.cousins\AppData\Local\Microsoft\Windows\Temporary Internet Files\Content.Outlook\5NC1S6OP\SEC-Logo-without-diamo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therine.cousins\AppData\Local\Microsoft\Windows\Temporary Internet Files\Content.Outlook\5NC1S6OP\SEC-Logo-without-diamonds.jpg"/>
                  <pic:cNvPicPr>
                    <a:picLocks noChangeAspect="1" noChangeArrowheads="1"/>
                  </pic:cNvPicPr>
                </pic:nvPicPr>
                <pic:blipFill>
                  <a:blip r:embed="rId1"/>
                  <a:srcRect/>
                  <a:stretch>
                    <a:fillRect/>
                  </a:stretch>
                </pic:blipFill>
                <pic:spPr bwMode="auto">
                  <a:xfrm>
                    <a:off x="0" y="0"/>
                    <a:ext cx="1457325" cy="1047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11FE8"/>
    <w:multiLevelType w:val="multilevel"/>
    <w:tmpl w:val="82382EC6"/>
    <w:styleLink w:val="Subtitles"/>
    <w:lvl w:ilvl="0">
      <w:start w:val="1"/>
      <w:numFmt w:val="decimal"/>
      <w:lvlText w:val="%1."/>
      <w:lvlJc w:val="left"/>
      <w:pPr>
        <w:ind w:left="360" w:hanging="36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D61751B"/>
    <w:multiLevelType w:val="hybridMultilevel"/>
    <w:tmpl w:val="D676EAF2"/>
    <w:lvl w:ilvl="0" w:tplc="101C79B2">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020731"/>
    <w:multiLevelType w:val="hybridMultilevel"/>
    <w:tmpl w:val="735AA702"/>
    <w:lvl w:ilvl="0" w:tplc="16BA518A">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D25E7"/>
    <w:multiLevelType w:val="hybridMultilevel"/>
    <w:tmpl w:val="ADEE279A"/>
    <w:lvl w:ilvl="0" w:tplc="B04CE0D8">
      <w:start w:val="1"/>
      <w:numFmt w:val="bullet"/>
      <w:lvlText w:val="•"/>
      <w:lvlJc w:val="left"/>
      <w:pPr>
        <w:tabs>
          <w:tab w:val="num" w:pos="720"/>
        </w:tabs>
        <w:ind w:left="720" w:hanging="360"/>
      </w:pPr>
      <w:rPr>
        <w:rFonts w:ascii="Times New Roman" w:hAnsi="Times New Roman" w:hint="default"/>
      </w:rPr>
    </w:lvl>
    <w:lvl w:ilvl="1" w:tplc="80E661D8" w:tentative="1">
      <w:start w:val="1"/>
      <w:numFmt w:val="bullet"/>
      <w:lvlText w:val="•"/>
      <w:lvlJc w:val="left"/>
      <w:pPr>
        <w:tabs>
          <w:tab w:val="num" w:pos="1440"/>
        </w:tabs>
        <w:ind w:left="1440" w:hanging="360"/>
      </w:pPr>
      <w:rPr>
        <w:rFonts w:ascii="Times New Roman" w:hAnsi="Times New Roman" w:hint="default"/>
      </w:rPr>
    </w:lvl>
    <w:lvl w:ilvl="2" w:tplc="1D36EADA" w:tentative="1">
      <w:start w:val="1"/>
      <w:numFmt w:val="bullet"/>
      <w:lvlText w:val="•"/>
      <w:lvlJc w:val="left"/>
      <w:pPr>
        <w:tabs>
          <w:tab w:val="num" w:pos="2160"/>
        </w:tabs>
        <w:ind w:left="2160" w:hanging="360"/>
      </w:pPr>
      <w:rPr>
        <w:rFonts w:ascii="Times New Roman" w:hAnsi="Times New Roman" w:hint="default"/>
      </w:rPr>
    </w:lvl>
    <w:lvl w:ilvl="3" w:tplc="65943E76" w:tentative="1">
      <w:start w:val="1"/>
      <w:numFmt w:val="bullet"/>
      <w:lvlText w:val="•"/>
      <w:lvlJc w:val="left"/>
      <w:pPr>
        <w:tabs>
          <w:tab w:val="num" w:pos="2880"/>
        </w:tabs>
        <w:ind w:left="2880" w:hanging="360"/>
      </w:pPr>
      <w:rPr>
        <w:rFonts w:ascii="Times New Roman" w:hAnsi="Times New Roman" w:hint="default"/>
      </w:rPr>
    </w:lvl>
    <w:lvl w:ilvl="4" w:tplc="8624AD18" w:tentative="1">
      <w:start w:val="1"/>
      <w:numFmt w:val="bullet"/>
      <w:lvlText w:val="•"/>
      <w:lvlJc w:val="left"/>
      <w:pPr>
        <w:tabs>
          <w:tab w:val="num" w:pos="3600"/>
        </w:tabs>
        <w:ind w:left="3600" w:hanging="360"/>
      </w:pPr>
      <w:rPr>
        <w:rFonts w:ascii="Times New Roman" w:hAnsi="Times New Roman" w:hint="default"/>
      </w:rPr>
    </w:lvl>
    <w:lvl w:ilvl="5" w:tplc="193EC05E" w:tentative="1">
      <w:start w:val="1"/>
      <w:numFmt w:val="bullet"/>
      <w:lvlText w:val="•"/>
      <w:lvlJc w:val="left"/>
      <w:pPr>
        <w:tabs>
          <w:tab w:val="num" w:pos="4320"/>
        </w:tabs>
        <w:ind w:left="4320" w:hanging="360"/>
      </w:pPr>
      <w:rPr>
        <w:rFonts w:ascii="Times New Roman" w:hAnsi="Times New Roman" w:hint="default"/>
      </w:rPr>
    </w:lvl>
    <w:lvl w:ilvl="6" w:tplc="8156478C" w:tentative="1">
      <w:start w:val="1"/>
      <w:numFmt w:val="bullet"/>
      <w:lvlText w:val="•"/>
      <w:lvlJc w:val="left"/>
      <w:pPr>
        <w:tabs>
          <w:tab w:val="num" w:pos="5040"/>
        </w:tabs>
        <w:ind w:left="5040" w:hanging="360"/>
      </w:pPr>
      <w:rPr>
        <w:rFonts w:ascii="Times New Roman" w:hAnsi="Times New Roman" w:hint="default"/>
      </w:rPr>
    </w:lvl>
    <w:lvl w:ilvl="7" w:tplc="427C0112" w:tentative="1">
      <w:start w:val="1"/>
      <w:numFmt w:val="bullet"/>
      <w:lvlText w:val="•"/>
      <w:lvlJc w:val="left"/>
      <w:pPr>
        <w:tabs>
          <w:tab w:val="num" w:pos="5760"/>
        </w:tabs>
        <w:ind w:left="5760" w:hanging="360"/>
      </w:pPr>
      <w:rPr>
        <w:rFonts w:ascii="Times New Roman" w:hAnsi="Times New Roman" w:hint="default"/>
      </w:rPr>
    </w:lvl>
    <w:lvl w:ilvl="8" w:tplc="4BCAE7C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A972FEA"/>
    <w:multiLevelType w:val="hybridMultilevel"/>
    <w:tmpl w:val="CDA02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D64DFF"/>
    <w:multiLevelType w:val="hybridMultilevel"/>
    <w:tmpl w:val="EF68074A"/>
    <w:lvl w:ilvl="0" w:tplc="42529A7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A835BD"/>
    <w:multiLevelType w:val="hybridMultilevel"/>
    <w:tmpl w:val="B3DC7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F02984"/>
    <w:multiLevelType w:val="multilevel"/>
    <w:tmpl w:val="CCAEB4D6"/>
    <w:styleLink w:val="SECPanelPaperHeadings"/>
    <w:lvl w:ilvl="0">
      <w:start w:val="1"/>
      <w:numFmt w:val="decimal"/>
      <w:lvlText w:val="%1."/>
      <w:lvlJc w:val="left"/>
      <w:pPr>
        <w:ind w:left="709" w:hanging="709"/>
      </w:pPr>
      <w:rPr>
        <w:rFonts w:ascii="Arial" w:hAnsi="Arial" w:hint="default"/>
        <w:b/>
        <w:bCs w:val="0"/>
        <w:i w:val="0"/>
        <w:iCs w:val="0"/>
        <w:caps w:val="0"/>
        <w:smallCaps w:val="0"/>
        <w:strike w:val="0"/>
        <w:dstrike w:val="0"/>
        <w:vanish w:val="0"/>
        <w:kern w:val="0"/>
        <w:position w:val="0"/>
        <w:sz w:val="24"/>
        <w:u w:val="none"/>
        <w:vertAlign w:val="baseline"/>
        <w:em w:val="none"/>
      </w:rPr>
    </w:lvl>
    <w:lvl w:ilvl="1">
      <w:start w:val="1"/>
      <w:numFmt w:val="decimal"/>
      <w:isLgl/>
      <w:lvlText w:val="%1.%2"/>
      <w:lvlJc w:val="left"/>
      <w:pPr>
        <w:ind w:left="709" w:hanging="709"/>
      </w:pPr>
      <w:rPr>
        <w:rFonts w:ascii="Arial" w:hAnsi="Arial" w:hint="default"/>
        <w:b/>
        <w:sz w:val="20"/>
      </w:rPr>
    </w:lvl>
    <w:lvl w:ilvl="2">
      <w:start w:val="1"/>
      <w:numFmt w:val="decimal"/>
      <w:isLgl/>
      <w:lvlText w:val="%1.%2.%3"/>
      <w:lvlJc w:val="left"/>
      <w:pPr>
        <w:ind w:left="709" w:hanging="709"/>
      </w:pPr>
      <w:rPr>
        <w:rFonts w:hint="default"/>
      </w:rPr>
    </w:lvl>
    <w:lvl w:ilvl="3">
      <w:start w:val="1"/>
      <w:numFmt w:val="decimal"/>
      <w:isLgl/>
      <w:lvlText w:val="%1.%2.%3.%4"/>
      <w:lvlJc w:val="left"/>
      <w:pPr>
        <w:ind w:left="709" w:hanging="709"/>
      </w:pPr>
      <w:rPr>
        <w:rFonts w:hint="default"/>
      </w:rPr>
    </w:lvl>
    <w:lvl w:ilvl="4">
      <w:start w:val="1"/>
      <w:numFmt w:val="decimal"/>
      <w:isLgl/>
      <w:lvlText w:val="%1.%2.%3.%4.%5"/>
      <w:lvlJc w:val="left"/>
      <w:pPr>
        <w:ind w:left="709" w:hanging="709"/>
      </w:pPr>
      <w:rPr>
        <w:rFonts w:hint="default"/>
      </w:rPr>
    </w:lvl>
    <w:lvl w:ilvl="5">
      <w:start w:val="1"/>
      <w:numFmt w:val="decimal"/>
      <w:isLgl/>
      <w:lvlText w:val="%1.%2.%3.%4.%5.%6"/>
      <w:lvlJc w:val="left"/>
      <w:pPr>
        <w:ind w:left="709" w:hanging="709"/>
      </w:pPr>
      <w:rPr>
        <w:rFonts w:hint="default"/>
      </w:rPr>
    </w:lvl>
    <w:lvl w:ilvl="6">
      <w:start w:val="1"/>
      <w:numFmt w:val="decimal"/>
      <w:isLgl/>
      <w:lvlText w:val="%1.%2.%3.%4.%5.%6.%7"/>
      <w:lvlJc w:val="left"/>
      <w:pPr>
        <w:ind w:left="709" w:hanging="709"/>
      </w:pPr>
      <w:rPr>
        <w:rFonts w:hint="default"/>
      </w:rPr>
    </w:lvl>
    <w:lvl w:ilvl="7">
      <w:start w:val="1"/>
      <w:numFmt w:val="decimal"/>
      <w:isLgl/>
      <w:lvlText w:val="%1.%2.%3.%4.%5.%6.%7.%8"/>
      <w:lvlJc w:val="left"/>
      <w:pPr>
        <w:ind w:left="709" w:hanging="709"/>
      </w:pPr>
      <w:rPr>
        <w:rFonts w:hint="default"/>
      </w:rPr>
    </w:lvl>
    <w:lvl w:ilvl="8">
      <w:start w:val="1"/>
      <w:numFmt w:val="decimal"/>
      <w:isLgl/>
      <w:lvlText w:val="%1.%2.%3.%4.%5.%6.%7.%8.%9"/>
      <w:lvlJc w:val="left"/>
      <w:pPr>
        <w:ind w:left="709" w:hanging="709"/>
      </w:pPr>
      <w:rPr>
        <w:rFonts w:hint="default"/>
      </w:rPr>
    </w:lvl>
  </w:abstractNum>
  <w:abstractNum w:abstractNumId="8" w15:restartNumberingAfterBreak="0">
    <w:nsid w:val="61937DB3"/>
    <w:multiLevelType w:val="hybridMultilevel"/>
    <w:tmpl w:val="11E49690"/>
    <w:lvl w:ilvl="0" w:tplc="776AA682">
      <w:start w:val="1"/>
      <w:numFmt w:val="bullet"/>
      <w:lvlText w:val="•"/>
      <w:lvlJc w:val="left"/>
      <w:pPr>
        <w:tabs>
          <w:tab w:val="num" w:pos="720"/>
        </w:tabs>
        <w:ind w:left="720" w:hanging="360"/>
      </w:pPr>
      <w:rPr>
        <w:rFonts w:ascii="Times New Roman" w:hAnsi="Times New Roman" w:hint="default"/>
      </w:rPr>
    </w:lvl>
    <w:lvl w:ilvl="1" w:tplc="751896F4" w:tentative="1">
      <w:start w:val="1"/>
      <w:numFmt w:val="bullet"/>
      <w:lvlText w:val="•"/>
      <w:lvlJc w:val="left"/>
      <w:pPr>
        <w:tabs>
          <w:tab w:val="num" w:pos="1440"/>
        </w:tabs>
        <w:ind w:left="1440" w:hanging="360"/>
      </w:pPr>
      <w:rPr>
        <w:rFonts w:ascii="Times New Roman" w:hAnsi="Times New Roman" w:hint="default"/>
      </w:rPr>
    </w:lvl>
    <w:lvl w:ilvl="2" w:tplc="B69ABD84" w:tentative="1">
      <w:start w:val="1"/>
      <w:numFmt w:val="bullet"/>
      <w:lvlText w:val="•"/>
      <w:lvlJc w:val="left"/>
      <w:pPr>
        <w:tabs>
          <w:tab w:val="num" w:pos="2160"/>
        </w:tabs>
        <w:ind w:left="2160" w:hanging="360"/>
      </w:pPr>
      <w:rPr>
        <w:rFonts w:ascii="Times New Roman" w:hAnsi="Times New Roman" w:hint="default"/>
      </w:rPr>
    </w:lvl>
    <w:lvl w:ilvl="3" w:tplc="ECD09C9C" w:tentative="1">
      <w:start w:val="1"/>
      <w:numFmt w:val="bullet"/>
      <w:lvlText w:val="•"/>
      <w:lvlJc w:val="left"/>
      <w:pPr>
        <w:tabs>
          <w:tab w:val="num" w:pos="2880"/>
        </w:tabs>
        <w:ind w:left="2880" w:hanging="360"/>
      </w:pPr>
      <w:rPr>
        <w:rFonts w:ascii="Times New Roman" w:hAnsi="Times New Roman" w:hint="default"/>
      </w:rPr>
    </w:lvl>
    <w:lvl w:ilvl="4" w:tplc="8D2E9FDE" w:tentative="1">
      <w:start w:val="1"/>
      <w:numFmt w:val="bullet"/>
      <w:lvlText w:val="•"/>
      <w:lvlJc w:val="left"/>
      <w:pPr>
        <w:tabs>
          <w:tab w:val="num" w:pos="3600"/>
        </w:tabs>
        <w:ind w:left="3600" w:hanging="360"/>
      </w:pPr>
      <w:rPr>
        <w:rFonts w:ascii="Times New Roman" w:hAnsi="Times New Roman" w:hint="default"/>
      </w:rPr>
    </w:lvl>
    <w:lvl w:ilvl="5" w:tplc="7904F1D4" w:tentative="1">
      <w:start w:val="1"/>
      <w:numFmt w:val="bullet"/>
      <w:lvlText w:val="•"/>
      <w:lvlJc w:val="left"/>
      <w:pPr>
        <w:tabs>
          <w:tab w:val="num" w:pos="4320"/>
        </w:tabs>
        <w:ind w:left="4320" w:hanging="360"/>
      </w:pPr>
      <w:rPr>
        <w:rFonts w:ascii="Times New Roman" w:hAnsi="Times New Roman" w:hint="default"/>
      </w:rPr>
    </w:lvl>
    <w:lvl w:ilvl="6" w:tplc="E3B4F5DC" w:tentative="1">
      <w:start w:val="1"/>
      <w:numFmt w:val="bullet"/>
      <w:lvlText w:val="•"/>
      <w:lvlJc w:val="left"/>
      <w:pPr>
        <w:tabs>
          <w:tab w:val="num" w:pos="5040"/>
        </w:tabs>
        <w:ind w:left="5040" w:hanging="360"/>
      </w:pPr>
      <w:rPr>
        <w:rFonts w:ascii="Times New Roman" w:hAnsi="Times New Roman" w:hint="default"/>
      </w:rPr>
    </w:lvl>
    <w:lvl w:ilvl="7" w:tplc="B41657E4" w:tentative="1">
      <w:start w:val="1"/>
      <w:numFmt w:val="bullet"/>
      <w:lvlText w:val="•"/>
      <w:lvlJc w:val="left"/>
      <w:pPr>
        <w:tabs>
          <w:tab w:val="num" w:pos="5760"/>
        </w:tabs>
        <w:ind w:left="5760" w:hanging="360"/>
      </w:pPr>
      <w:rPr>
        <w:rFonts w:ascii="Times New Roman" w:hAnsi="Times New Roman" w:hint="default"/>
      </w:rPr>
    </w:lvl>
    <w:lvl w:ilvl="8" w:tplc="2DDE182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F4A7C7A"/>
    <w:multiLevelType w:val="hybridMultilevel"/>
    <w:tmpl w:val="6B422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0"/>
  </w:num>
  <w:num w:numId="6">
    <w:abstractNumId w:val="6"/>
  </w:num>
  <w:num w:numId="7">
    <w:abstractNumId w:val="2"/>
  </w:num>
  <w:num w:numId="8">
    <w:abstractNumId w:val="2"/>
  </w:num>
  <w:num w:numId="9">
    <w:abstractNumId w:val="4"/>
  </w:num>
  <w:num w:numId="10">
    <w:abstractNumId w:val="9"/>
  </w:num>
  <w:num w:numId="11">
    <w:abstractNumId w:val="8"/>
  </w:num>
  <w:num w:numId="1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929"/>
    <w:rsid w:val="000055AC"/>
    <w:rsid w:val="000059A4"/>
    <w:rsid w:val="000126A7"/>
    <w:rsid w:val="00017658"/>
    <w:rsid w:val="00020BA4"/>
    <w:rsid w:val="00021516"/>
    <w:rsid w:val="000258B3"/>
    <w:rsid w:val="00040EF3"/>
    <w:rsid w:val="000445E5"/>
    <w:rsid w:val="00055297"/>
    <w:rsid w:val="00057CF0"/>
    <w:rsid w:val="000622C0"/>
    <w:rsid w:val="00067AFA"/>
    <w:rsid w:val="00075828"/>
    <w:rsid w:val="00087004"/>
    <w:rsid w:val="00091612"/>
    <w:rsid w:val="000A3363"/>
    <w:rsid w:val="000B05C0"/>
    <w:rsid w:val="000B30A4"/>
    <w:rsid w:val="000B4FAB"/>
    <w:rsid w:val="000C423C"/>
    <w:rsid w:val="000C49C1"/>
    <w:rsid w:val="000C5748"/>
    <w:rsid w:val="000D0828"/>
    <w:rsid w:val="000D492D"/>
    <w:rsid w:val="000D5B66"/>
    <w:rsid w:val="000D7BCC"/>
    <w:rsid w:val="000E1170"/>
    <w:rsid w:val="000E330B"/>
    <w:rsid w:val="000E661D"/>
    <w:rsid w:val="000E6A3C"/>
    <w:rsid w:val="000E6DD9"/>
    <w:rsid w:val="000F01A9"/>
    <w:rsid w:val="000F16D0"/>
    <w:rsid w:val="000F3436"/>
    <w:rsid w:val="000F4376"/>
    <w:rsid w:val="000F75DB"/>
    <w:rsid w:val="00102237"/>
    <w:rsid w:val="0010448B"/>
    <w:rsid w:val="00152E20"/>
    <w:rsid w:val="001530DA"/>
    <w:rsid w:val="00155205"/>
    <w:rsid w:val="0015743D"/>
    <w:rsid w:val="001636D8"/>
    <w:rsid w:val="00172FCB"/>
    <w:rsid w:val="00173D84"/>
    <w:rsid w:val="001855DA"/>
    <w:rsid w:val="00192FAC"/>
    <w:rsid w:val="00193AA5"/>
    <w:rsid w:val="00196A93"/>
    <w:rsid w:val="001B4EC6"/>
    <w:rsid w:val="001C32E8"/>
    <w:rsid w:val="001C63F9"/>
    <w:rsid w:val="001E2266"/>
    <w:rsid w:val="001E3A8A"/>
    <w:rsid w:val="001E4249"/>
    <w:rsid w:val="001E5C72"/>
    <w:rsid w:val="00220B8D"/>
    <w:rsid w:val="00221A27"/>
    <w:rsid w:val="00234988"/>
    <w:rsid w:val="002357F7"/>
    <w:rsid w:val="00236F9F"/>
    <w:rsid w:val="0024177C"/>
    <w:rsid w:val="00251BB8"/>
    <w:rsid w:val="00251E29"/>
    <w:rsid w:val="00255929"/>
    <w:rsid w:val="00260DC6"/>
    <w:rsid w:val="002636BA"/>
    <w:rsid w:val="0026436B"/>
    <w:rsid w:val="00267F7B"/>
    <w:rsid w:val="00283D8C"/>
    <w:rsid w:val="002925A9"/>
    <w:rsid w:val="002A0870"/>
    <w:rsid w:val="002A46ED"/>
    <w:rsid w:val="002A76CA"/>
    <w:rsid w:val="002C12CA"/>
    <w:rsid w:val="002E0EC9"/>
    <w:rsid w:val="002E13CE"/>
    <w:rsid w:val="002E45F5"/>
    <w:rsid w:val="002F1749"/>
    <w:rsid w:val="002F2338"/>
    <w:rsid w:val="002F39BD"/>
    <w:rsid w:val="003025D8"/>
    <w:rsid w:val="003025E2"/>
    <w:rsid w:val="003029F3"/>
    <w:rsid w:val="00306C4B"/>
    <w:rsid w:val="003103AF"/>
    <w:rsid w:val="00326FB7"/>
    <w:rsid w:val="00331B41"/>
    <w:rsid w:val="00332631"/>
    <w:rsid w:val="00340437"/>
    <w:rsid w:val="00341DAF"/>
    <w:rsid w:val="003423F3"/>
    <w:rsid w:val="003425F2"/>
    <w:rsid w:val="00346E2F"/>
    <w:rsid w:val="00347F6A"/>
    <w:rsid w:val="00387635"/>
    <w:rsid w:val="00391A04"/>
    <w:rsid w:val="00391B14"/>
    <w:rsid w:val="003935E6"/>
    <w:rsid w:val="00397755"/>
    <w:rsid w:val="003A556D"/>
    <w:rsid w:val="003B12CA"/>
    <w:rsid w:val="003B3657"/>
    <w:rsid w:val="003C08F7"/>
    <w:rsid w:val="003C1DF0"/>
    <w:rsid w:val="003C5060"/>
    <w:rsid w:val="003D2EA8"/>
    <w:rsid w:val="003D4888"/>
    <w:rsid w:val="003D4B63"/>
    <w:rsid w:val="003E4684"/>
    <w:rsid w:val="003E558E"/>
    <w:rsid w:val="00404C8C"/>
    <w:rsid w:val="00405167"/>
    <w:rsid w:val="004119F1"/>
    <w:rsid w:val="004170C6"/>
    <w:rsid w:val="00420A00"/>
    <w:rsid w:val="00422CAF"/>
    <w:rsid w:val="00423EC3"/>
    <w:rsid w:val="00426E53"/>
    <w:rsid w:val="004274EE"/>
    <w:rsid w:val="0043667E"/>
    <w:rsid w:val="00441728"/>
    <w:rsid w:val="00441D82"/>
    <w:rsid w:val="00446BBC"/>
    <w:rsid w:val="00455AEA"/>
    <w:rsid w:val="00463094"/>
    <w:rsid w:val="0046501B"/>
    <w:rsid w:val="00471CC6"/>
    <w:rsid w:val="00473872"/>
    <w:rsid w:val="00481DA5"/>
    <w:rsid w:val="00485DC4"/>
    <w:rsid w:val="0048680F"/>
    <w:rsid w:val="00490947"/>
    <w:rsid w:val="004A3385"/>
    <w:rsid w:val="004D00F1"/>
    <w:rsid w:val="004D380A"/>
    <w:rsid w:val="004D3C8F"/>
    <w:rsid w:val="004E1DB7"/>
    <w:rsid w:val="004E42D4"/>
    <w:rsid w:val="004F458B"/>
    <w:rsid w:val="00505898"/>
    <w:rsid w:val="00507273"/>
    <w:rsid w:val="00516EC5"/>
    <w:rsid w:val="0052765B"/>
    <w:rsid w:val="00530099"/>
    <w:rsid w:val="005334EF"/>
    <w:rsid w:val="00537D1A"/>
    <w:rsid w:val="00551CC4"/>
    <w:rsid w:val="00552455"/>
    <w:rsid w:val="005613A7"/>
    <w:rsid w:val="00564EBA"/>
    <w:rsid w:val="00566277"/>
    <w:rsid w:val="00571E51"/>
    <w:rsid w:val="005776F4"/>
    <w:rsid w:val="005778E5"/>
    <w:rsid w:val="00581A4B"/>
    <w:rsid w:val="00582377"/>
    <w:rsid w:val="005835C1"/>
    <w:rsid w:val="00583EC5"/>
    <w:rsid w:val="00585F21"/>
    <w:rsid w:val="0059197A"/>
    <w:rsid w:val="00592625"/>
    <w:rsid w:val="00594818"/>
    <w:rsid w:val="005C0EDF"/>
    <w:rsid w:val="005C5499"/>
    <w:rsid w:val="005E0302"/>
    <w:rsid w:val="005E2838"/>
    <w:rsid w:val="005F65BB"/>
    <w:rsid w:val="0060781C"/>
    <w:rsid w:val="00620DCD"/>
    <w:rsid w:val="006240A4"/>
    <w:rsid w:val="006256DB"/>
    <w:rsid w:val="00633F6B"/>
    <w:rsid w:val="00635617"/>
    <w:rsid w:val="0064797F"/>
    <w:rsid w:val="006546FD"/>
    <w:rsid w:val="0065625F"/>
    <w:rsid w:val="00661BA9"/>
    <w:rsid w:val="00663D43"/>
    <w:rsid w:val="0068082B"/>
    <w:rsid w:val="00682B00"/>
    <w:rsid w:val="0069226B"/>
    <w:rsid w:val="006B0D39"/>
    <w:rsid w:val="006B1076"/>
    <w:rsid w:val="006B1B0C"/>
    <w:rsid w:val="006C4D15"/>
    <w:rsid w:val="006C637C"/>
    <w:rsid w:val="006C64EA"/>
    <w:rsid w:val="006D1654"/>
    <w:rsid w:val="006D2593"/>
    <w:rsid w:val="006D37C5"/>
    <w:rsid w:val="006D3E3A"/>
    <w:rsid w:val="006E5908"/>
    <w:rsid w:val="00712849"/>
    <w:rsid w:val="00713251"/>
    <w:rsid w:val="00725163"/>
    <w:rsid w:val="00730BA3"/>
    <w:rsid w:val="0074297A"/>
    <w:rsid w:val="00744B12"/>
    <w:rsid w:val="00745CA5"/>
    <w:rsid w:val="00747040"/>
    <w:rsid w:val="00751FA0"/>
    <w:rsid w:val="00761B8A"/>
    <w:rsid w:val="00783DBF"/>
    <w:rsid w:val="00790B1E"/>
    <w:rsid w:val="00793FD4"/>
    <w:rsid w:val="007943C4"/>
    <w:rsid w:val="007A26CE"/>
    <w:rsid w:val="007A3FAB"/>
    <w:rsid w:val="007A4826"/>
    <w:rsid w:val="007A5CA3"/>
    <w:rsid w:val="007B44E5"/>
    <w:rsid w:val="007B4ADF"/>
    <w:rsid w:val="007B5EE6"/>
    <w:rsid w:val="007B6A3F"/>
    <w:rsid w:val="007B6BEF"/>
    <w:rsid w:val="007D2660"/>
    <w:rsid w:val="007D4C67"/>
    <w:rsid w:val="007E35FF"/>
    <w:rsid w:val="007E58E4"/>
    <w:rsid w:val="007E6ECB"/>
    <w:rsid w:val="007F66F1"/>
    <w:rsid w:val="00800AF2"/>
    <w:rsid w:val="00801794"/>
    <w:rsid w:val="00801B5E"/>
    <w:rsid w:val="008022BD"/>
    <w:rsid w:val="00810F76"/>
    <w:rsid w:val="00811994"/>
    <w:rsid w:val="0081354D"/>
    <w:rsid w:val="00834C04"/>
    <w:rsid w:val="00853361"/>
    <w:rsid w:val="00853C8B"/>
    <w:rsid w:val="00855057"/>
    <w:rsid w:val="0086220C"/>
    <w:rsid w:val="00862303"/>
    <w:rsid w:val="008738E4"/>
    <w:rsid w:val="008811D5"/>
    <w:rsid w:val="00881CA8"/>
    <w:rsid w:val="0089731C"/>
    <w:rsid w:val="008A01C2"/>
    <w:rsid w:val="008A3C1E"/>
    <w:rsid w:val="008A3C82"/>
    <w:rsid w:val="008B7479"/>
    <w:rsid w:val="008C0612"/>
    <w:rsid w:val="008C7A8F"/>
    <w:rsid w:val="008D0E77"/>
    <w:rsid w:val="008D518B"/>
    <w:rsid w:val="00901A0A"/>
    <w:rsid w:val="00910C71"/>
    <w:rsid w:val="00912FF8"/>
    <w:rsid w:val="00913553"/>
    <w:rsid w:val="00914ED3"/>
    <w:rsid w:val="009153F2"/>
    <w:rsid w:val="00916999"/>
    <w:rsid w:val="00917320"/>
    <w:rsid w:val="009301EC"/>
    <w:rsid w:val="00957927"/>
    <w:rsid w:val="00962B86"/>
    <w:rsid w:val="00964CD2"/>
    <w:rsid w:val="00966F93"/>
    <w:rsid w:val="00971D14"/>
    <w:rsid w:val="009908DB"/>
    <w:rsid w:val="00991AA0"/>
    <w:rsid w:val="00991C2D"/>
    <w:rsid w:val="009931E7"/>
    <w:rsid w:val="009949FA"/>
    <w:rsid w:val="009A7772"/>
    <w:rsid w:val="009B4841"/>
    <w:rsid w:val="009B4C21"/>
    <w:rsid w:val="009C2393"/>
    <w:rsid w:val="009C5BAE"/>
    <w:rsid w:val="009C6ABA"/>
    <w:rsid w:val="009D04BA"/>
    <w:rsid w:val="009D42B8"/>
    <w:rsid w:val="009D56D8"/>
    <w:rsid w:val="009E14DA"/>
    <w:rsid w:val="009E20CC"/>
    <w:rsid w:val="009E4D59"/>
    <w:rsid w:val="009F269D"/>
    <w:rsid w:val="00A001CC"/>
    <w:rsid w:val="00A07DC7"/>
    <w:rsid w:val="00A1169C"/>
    <w:rsid w:val="00A1462C"/>
    <w:rsid w:val="00A16AF3"/>
    <w:rsid w:val="00A23E2F"/>
    <w:rsid w:val="00A34E33"/>
    <w:rsid w:val="00A366DD"/>
    <w:rsid w:val="00A42421"/>
    <w:rsid w:val="00A427AE"/>
    <w:rsid w:val="00A441DE"/>
    <w:rsid w:val="00A50332"/>
    <w:rsid w:val="00A5165B"/>
    <w:rsid w:val="00A54644"/>
    <w:rsid w:val="00A6390E"/>
    <w:rsid w:val="00A72808"/>
    <w:rsid w:val="00A75FD0"/>
    <w:rsid w:val="00A81107"/>
    <w:rsid w:val="00A858CC"/>
    <w:rsid w:val="00A85BC8"/>
    <w:rsid w:val="00A90A90"/>
    <w:rsid w:val="00A94F15"/>
    <w:rsid w:val="00A95933"/>
    <w:rsid w:val="00AA11BF"/>
    <w:rsid w:val="00AA6424"/>
    <w:rsid w:val="00AC1347"/>
    <w:rsid w:val="00AC241A"/>
    <w:rsid w:val="00AD0B74"/>
    <w:rsid w:val="00AD70B0"/>
    <w:rsid w:val="00AE2E9B"/>
    <w:rsid w:val="00AF1834"/>
    <w:rsid w:val="00AF5284"/>
    <w:rsid w:val="00AF7F93"/>
    <w:rsid w:val="00B02B31"/>
    <w:rsid w:val="00B1202F"/>
    <w:rsid w:val="00B12F88"/>
    <w:rsid w:val="00B13710"/>
    <w:rsid w:val="00B13A0A"/>
    <w:rsid w:val="00B14FD0"/>
    <w:rsid w:val="00B15328"/>
    <w:rsid w:val="00B17F4C"/>
    <w:rsid w:val="00B242DE"/>
    <w:rsid w:val="00B40A97"/>
    <w:rsid w:val="00B411F9"/>
    <w:rsid w:val="00B41DF9"/>
    <w:rsid w:val="00B50BDD"/>
    <w:rsid w:val="00B5188D"/>
    <w:rsid w:val="00B5592D"/>
    <w:rsid w:val="00B63825"/>
    <w:rsid w:val="00B80B19"/>
    <w:rsid w:val="00B93CA4"/>
    <w:rsid w:val="00B943CC"/>
    <w:rsid w:val="00BA2646"/>
    <w:rsid w:val="00BA3AD6"/>
    <w:rsid w:val="00BA7A76"/>
    <w:rsid w:val="00BB1D73"/>
    <w:rsid w:val="00BC1B98"/>
    <w:rsid w:val="00BC2A21"/>
    <w:rsid w:val="00BD1C03"/>
    <w:rsid w:val="00BD2ADD"/>
    <w:rsid w:val="00BD70A6"/>
    <w:rsid w:val="00BD742D"/>
    <w:rsid w:val="00BE1829"/>
    <w:rsid w:val="00BE43A3"/>
    <w:rsid w:val="00BF56D2"/>
    <w:rsid w:val="00BF6FEE"/>
    <w:rsid w:val="00C257A7"/>
    <w:rsid w:val="00C33297"/>
    <w:rsid w:val="00C3392A"/>
    <w:rsid w:val="00C401C6"/>
    <w:rsid w:val="00C420BA"/>
    <w:rsid w:val="00C43704"/>
    <w:rsid w:val="00C454EA"/>
    <w:rsid w:val="00C46819"/>
    <w:rsid w:val="00C46C5F"/>
    <w:rsid w:val="00C509B8"/>
    <w:rsid w:val="00C50BB9"/>
    <w:rsid w:val="00C86B22"/>
    <w:rsid w:val="00C92D9F"/>
    <w:rsid w:val="00CA1D8C"/>
    <w:rsid w:val="00CB77C9"/>
    <w:rsid w:val="00CC5CF2"/>
    <w:rsid w:val="00CC5FB4"/>
    <w:rsid w:val="00CD7753"/>
    <w:rsid w:val="00CE018A"/>
    <w:rsid w:val="00CE691C"/>
    <w:rsid w:val="00CF3BEF"/>
    <w:rsid w:val="00CF462F"/>
    <w:rsid w:val="00CF6AA5"/>
    <w:rsid w:val="00D15D55"/>
    <w:rsid w:val="00D160AF"/>
    <w:rsid w:val="00D26872"/>
    <w:rsid w:val="00D27E31"/>
    <w:rsid w:val="00D31291"/>
    <w:rsid w:val="00D356AD"/>
    <w:rsid w:val="00D3600F"/>
    <w:rsid w:val="00D40179"/>
    <w:rsid w:val="00D423AF"/>
    <w:rsid w:val="00D47D4E"/>
    <w:rsid w:val="00D506A9"/>
    <w:rsid w:val="00D63701"/>
    <w:rsid w:val="00D65365"/>
    <w:rsid w:val="00D70ECB"/>
    <w:rsid w:val="00D826AC"/>
    <w:rsid w:val="00D9647C"/>
    <w:rsid w:val="00DA1B1A"/>
    <w:rsid w:val="00DA225E"/>
    <w:rsid w:val="00DB079D"/>
    <w:rsid w:val="00DB0807"/>
    <w:rsid w:val="00DB500E"/>
    <w:rsid w:val="00DC1474"/>
    <w:rsid w:val="00DC4326"/>
    <w:rsid w:val="00DC6FD5"/>
    <w:rsid w:val="00DD1A40"/>
    <w:rsid w:val="00DD7189"/>
    <w:rsid w:val="00DE1CF2"/>
    <w:rsid w:val="00DE3454"/>
    <w:rsid w:val="00DE5C32"/>
    <w:rsid w:val="00DF7D1A"/>
    <w:rsid w:val="00E10640"/>
    <w:rsid w:val="00E1288E"/>
    <w:rsid w:val="00E136D9"/>
    <w:rsid w:val="00E152A7"/>
    <w:rsid w:val="00E1536A"/>
    <w:rsid w:val="00E24571"/>
    <w:rsid w:val="00E3126E"/>
    <w:rsid w:val="00E31D79"/>
    <w:rsid w:val="00E35AA8"/>
    <w:rsid w:val="00E374F7"/>
    <w:rsid w:val="00E42FFB"/>
    <w:rsid w:val="00E4508B"/>
    <w:rsid w:val="00E454BA"/>
    <w:rsid w:val="00E47F32"/>
    <w:rsid w:val="00E50945"/>
    <w:rsid w:val="00E5727E"/>
    <w:rsid w:val="00E62969"/>
    <w:rsid w:val="00E6727F"/>
    <w:rsid w:val="00E77C26"/>
    <w:rsid w:val="00E84A70"/>
    <w:rsid w:val="00E84C1D"/>
    <w:rsid w:val="00E91C2A"/>
    <w:rsid w:val="00E9733A"/>
    <w:rsid w:val="00EA6D48"/>
    <w:rsid w:val="00EB17D8"/>
    <w:rsid w:val="00EB51D0"/>
    <w:rsid w:val="00EB767D"/>
    <w:rsid w:val="00EC5C31"/>
    <w:rsid w:val="00ED0E2E"/>
    <w:rsid w:val="00ED15FD"/>
    <w:rsid w:val="00ED64C8"/>
    <w:rsid w:val="00EE33BF"/>
    <w:rsid w:val="00F0008C"/>
    <w:rsid w:val="00F142C4"/>
    <w:rsid w:val="00F3046D"/>
    <w:rsid w:val="00F43C74"/>
    <w:rsid w:val="00F47D15"/>
    <w:rsid w:val="00F556BC"/>
    <w:rsid w:val="00F57FE2"/>
    <w:rsid w:val="00F635A3"/>
    <w:rsid w:val="00F64567"/>
    <w:rsid w:val="00F76EC5"/>
    <w:rsid w:val="00F8182D"/>
    <w:rsid w:val="00F84DA6"/>
    <w:rsid w:val="00F85CE1"/>
    <w:rsid w:val="00F90B20"/>
    <w:rsid w:val="00F95DE1"/>
    <w:rsid w:val="00FB0240"/>
    <w:rsid w:val="00FB6C52"/>
    <w:rsid w:val="00FC010D"/>
    <w:rsid w:val="00FC067E"/>
    <w:rsid w:val="00FC5CC6"/>
    <w:rsid w:val="00FD1ACC"/>
    <w:rsid w:val="00FD5A59"/>
    <w:rsid w:val="00FD6A99"/>
    <w:rsid w:val="00FD7F34"/>
    <w:rsid w:val="00FE19A5"/>
    <w:rsid w:val="00FF0C8B"/>
    <w:rsid w:val="00FF2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1745116"/>
  <w15:docId w15:val="{0D1332B5-571F-43E5-94C3-43F081D2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EC Paper Body"/>
    <w:qFormat/>
    <w:rsid w:val="00B13710"/>
    <w:pPr>
      <w:spacing w:after="120"/>
    </w:pPr>
    <w:rPr>
      <w:rFonts w:ascii="Arial" w:hAnsi="Arial"/>
      <w:color w:val="404040" w:themeColor="text1" w:themeTint="BF"/>
      <w:sz w:val="20"/>
    </w:rPr>
  </w:style>
  <w:style w:type="paragraph" w:styleId="Heading1">
    <w:name w:val="heading 1"/>
    <w:basedOn w:val="Normal"/>
    <w:next w:val="Normal"/>
    <w:link w:val="Heading1Char"/>
    <w:uiPriority w:val="9"/>
    <w:rsid w:val="000D0828"/>
    <w:pPr>
      <w:keepNext/>
      <w:keepLines/>
      <w:numPr>
        <w:numId w:val="1"/>
      </w:numPr>
      <w:spacing w:before="480" w:after="360"/>
      <w:ind w:left="357" w:hanging="357"/>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rsid w:val="000D0828"/>
    <w:pPr>
      <w:keepNext/>
      <w:keepLines/>
      <w:numPr>
        <w:numId w:val="2"/>
      </w:numPr>
      <w:spacing w:before="120"/>
      <w:ind w:left="357" w:hanging="357"/>
      <w:outlineLvl w:val="1"/>
    </w:pPr>
    <w:rPr>
      <w:rFonts w:eastAsiaTheme="majorEastAsia"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4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58B"/>
  </w:style>
  <w:style w:type="paragraph" w:styleId="Footer">
    <w:name w:val="footer"/>
    <w:basedOn w:val="Normal"/>
    <w:link w:val="FooterChar"/>
    <w:uiPriority w:val="99"/>
    <w:unhideWhenUsed/>
    <w:rsid w:val="004F4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58B"/>
  </w:style>
  <w:style w:type="paragraph" w:styleId="BalloonText">
    <w:name w:val="Balloon Text"/>
    <w:basedOn w:val="Normal"/>
    <w:link w:val="BalloonTextChar"/>
    <w:uiPriority w:val="99"/>
    <w:semiHidden/>
    <w:unhideWhenUsed/>
    <w:rsid w:val="004F4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58B"/>
    <w:rPr>
      <w:rFonts w:ascii="Tahoma" w:hAnsi="Tahoma" w:cs="Tahoma"/>
      <w:sz w:val="16"/>
      <w:szCs w:val="16"/>
    </w:rPr>
  </w:style>
  <w:style w:type="character" w:customStyle="1" w:styleId="Heading1Char">
    <w:name w:val="Heading 1 Char"/>
    <w:basedOn w:val="DefaultParagraphFont"/>
    <w:link w:val="Heading1"/>
    <w:uiPriority w:val="9"/>
    <w:rsid w:val="000D0828"/>
    <w:rPr>
      <w:rFonts w:ascii="Arial" w:eastAsiaTheme="majorEastAsia" w:hAnsi="Arial" w:cstheme="majorBidi"/>
      <w:b/>
      <w:bCs/>
      <w:color w:val="404040" w:themeColor="text1" w:themeTint="BF"/>
      <w:sz w:val="28"/>
      <w:szCs w:val="28"/>
    </w:rPr>
  </w:style>
  <w:style w:type="character" w:customStyle="1" w:styleId="Heading2Char">
    <w:name w:val="Heading 2 Char"/>
    <w:basedOn w:val="DefaultParagraphFont"/>
    <w:link w:val="Heading2"/>
    <w:uiPriority w:val="9"/>
    <w:rsid w:val="000D0828"/>
    <w:rPr>
      <w:rFonts w:ascii="Arial" w:eastAsiaTheme="majorEastAsia" w:hAnsi="Arial" w:cstheme="majorBidi"/>
      <w:b/>
      <w:bCs/>
      <w:color w:val="404040" w:themeColor="text1" w:themeTint="BF"/>
      <w:szCs w:val="26"/>
    </w:rPr>
  </w:style>
  <w:style w:type="paragraph" w:styleId="Title">
    <w:name w:val="Title"/>
    <w:basedOn w:val="Normal"/>
    <w:next w:val="Normal"/>
    <w:link w:val="TitleChar"/>
    <w:uiPriority w:val="10"/>
    <w:rsid w:val="000D0828"/>
    <w:pPr>
      <w:spacing w:before="240" w:after="480" w:line="240" w:lineRule="auto"/>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0D0828"/>
    <w:rPr>
      <w:rFonts w:ascii="Arial" w:eastAsiaTheme="majorEastAsia" w:hAnsi="Arial" w:cstheme="majorBidi"/>
      <w:b/>
      <w:color w:val="404040" w:themeColor="text1" w:themeTint="BF"/>
      <w:spacing w:val="5"/>
      <w:kern w:val="28"/>
      <w:sz w:val="32"/>
      <w:szCs w:val="52"/>
    </w:rPr>
  </w:style>
  <w:style w:type="paragraph" w:styleId="Subtitle">
    <w:name w:val="Subtitle"/>
    <w:aliases w:val="Heading"/>
    <w:basedOn w:val="Normal"/>
    <w:next w:val="Normal"/>
    <w:link w:val="SubtitleChar"/>
    <w:autoRedefine/>
    <w:uiPriority w:val="11"/>
    <w:qFormat/>
    <w:rsid w:val="00F84DA6"/>
    <w:pPr>
      <w:keepNext/>
      <w:spacing w:before="480"/>
    </w:pPr>
    <w:rPr>
      <w:rFonts w:eastAsiaTheme="majorEastAsia" w:cstheme="majorBidi"/>
      <w:b/>
      <w:iCs/>
      <w:spacing w:val="15"/>
      <w:sz w:val="24"/>
      <w:szCs w:val="24"/>
    </w:rPr>
  </w:style>
  <w:style w:type="character" w:customStyle="1" w:styleId="SubtitleChar">
    <w:name w:val="Subtitle Char"/>
    <w:aliases w:val="Heading Char"/>
    <w:basedOn w:val="DefaultParagraphFont"/>
    <w:link w:val="Subtitle"/>
    <w:uiPriority w:val="11"/>
    <w:rsid w:val="00F84DA6"/>
    <w:rPr>
      <w:rFonts w:ascii="Arial" w:eastAsiaTheme="majorEastAsia" w:hAnsi="Arial" w:cstheme="majorBidi"/>
      <w:b/>
      <w:iCs/>
      <w:color w:val="404040" w:themeColor="text1" w:themeTint="BF"/>
      <w:spacing w:val="15"/>
      <w:sz w:val="24"/>
      <w:szCs w:val="24"/>
    </w:rPr>
  </w:style>
  <w:style w:type="character" w:customStyle="1" w:styleId="MRABodyChar">
    <w:name w:val="MRA Body Char"/>
    <w:basedOn w:val="DefaultParagraphFont"/>
    <w:link w:val="MRABody"/>
    <w:locked/>
    <w:rsid w:val="00E1288E"/>
  </w:style>
  <w:style w:type="paragraph" w:customStyle="1" w:styleId="MRABody">
    <w:name w:val="MRA Body"/>
    <w:basedOn w:val="Normal"/>
    <w:link w:val="MRABodyChar"/>
    <w:rsid w:val="00E1288E"/>
    <w:pPr>
      <w:keepLines/>
      <w:spacing w:line="288" w:lineRule="auto"/>
      <w:jc w:val="both"/>
    </w:pPr>
    <w:rPr>
      <w:rFonts w:asciiTheme="minorHAnsi" w:hAnsiTheme="minorHAnsi"/>
      <w:color w:val="auto"/>
      <w:sz w:val="22"/>
    </w:rPr>
  </w:style>
  <w:style w:type="table" w:customStyle="1" w:styleId="SECTable">
    <w:name w:val="SEC Table"/>
    <w:basedOn w:val="TableNormal"/>
    <w:uiPriority w:val="99"/>
    <w:rsid w:val="00881CA8"/>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FFFFFF" w:themeColor="background1"/>
        <w:sz w:val="20"/>
      </w:rPr>
      <w:tblPr/>
      <w:tcPr>
        <w:shd w:val="clear" w:color="auto" w:fill="00B0F0"/>
      </w:tcPr>
    </w:tblStylePr>
  </w:style>
  <w:style w:type="paragraph" w:styleId="ListParagraph">
    <w:name w:val="List Paragraph"/>
    <w:aliases w:val="SEC Bullet Point,Dot pt,No Spacing1,List Paragraph Char Char Char,Indicator Text,Numbered Para 1,List Paragraph1,Bullet 1,Bullet Points,MAIN CONTENT,List Paragraph12,List Para,Bullet text"/>
    <w:basedOn w:val="Normal"/>
    <w:link w:val="ListParagraphChar"/>
    <w:qFormat/>
    <w:rsid w:val="00EE33BF"/>
    <w:pPr>
      <w:numPr>
        <w:numId w:val="3"/>
      </w:numPr>
    </w:pPr>
  </w:style>
  <w:style w:type="paragraph" w:customStyle="1" w:styleId="SECPaperTitle">
    <w:name w:val="SEC Paper Title"/>
    <w:basedOn w:val="Title"/>
    <w:link w:val="SECPaperTitleChar"/>
    <w:qFormat/>
    <w:rsid w:val="001E4249"/>
  </w:style>
  <w:style w:type="paragraph" w:customStyle="1" w:styleId="Sub-Heading">
    <w:name w:val="Sub-Heading"/>
    <w:basedOn w:val="Normal"/>
    <w:link w:val="Sub-HeadingChar"/>
    <w:rsid w:val="00267F7B"/>
    <w:rPr>
      <w:b/>
    </w:rPr>
  </w:style>
  <w:style w:type="character" w:customStyle="1" w:styleId="SECPaperTitleChar">
    <w:name w:val="SEC Paper Title Char"/>
    <w:basedOn w:val="TitleChar"/>
    <w:link w:val="SECPaperTitle"/>
    <w:rsid w:val="001E4249"/>
    <w:rPr>
      <w:rFonts w:ascii="Arial" w:eastAsiaTheme="majorEastAsia" w:hAnsi="Arial" w:cstheme="majorBidi"/>
      <w:b/>
      <w:color w:val="404040" w:themeColor="text1" w:themeTint="BF"/>
      <w:spacing w:val="5"/>
      <w:kern w:val="28"/>
      <w:sz w:val="32"/>
      <w:szCs w:val="52"/>
    </w:rPr>
  </w:style>
  <w:style w:type="numbering" w:customStyle="1" w:styleId="SECPanelPaperHeadings">
    <w:name w:val="SEC Panel Paper Headings"/>
    <w:uiPriority w:val="99"/>
    <w:rsid w:val="00E5727E"/>
    <w:pPr>
      <w:numPr>
        <w:numId w:val="4"/>
      </w:numPr>
    </w:pPr>
  </w:style>
  <w:style w:type="character" w:customStyle="1" w:styleId="Sub-HeadingChar">
    <w:name w:val="Sub-Heading Char"/>
    <w:basedOn w:val="DefaultParagraphFont"/>
    <w:link w:val="Sub-Heading"/>
    <w:rsid w:val="00267F7B"/>
    <w:rPr>
      <w:rFonts w:ascii="Arial" w:hAnsi="Arial"/>
      <w:b/>
      <w:color w:val="404040" w:themeColor="text1" w:themeTint="BF"/>
      <w:sz w:val="20"/>
    </w:rPr>
  </w:style>
  <w:style w:type="paragraph" w:styleId="Caption">
    <w:name w:val="caption"/>
    <w:aliases w:val="Caption SEC Table"/>
    <w:basedOn w:val="Sub-Heading"/>
    <w:next w:val="Normal"/>
    <w:uiPriority w:val="35"/>
    <w:unhideWhenUsed/>
    <w:qFormat/>
    <w:rsid w:val="00267F7B"/>
    <w:pPr>
      <w:ind w:left="709" w:hanging="709"/>
      <w:jc w:val="right"/>
    </w:pPr>
    <w:rPr>
      <w:i/>
    </w:rPr>
  </w:style>
  <w:style w:type="paragraph" w:customStyle="1" w:styleId="Subheading">
    <w:name w:val="Subheading"/>
    <w:basedOn w:val="Subtitle"/>
    <w:next w:val="Normal"/>
    <w:qFormat/>
    <w:rsid w:val="00F57FE2"/>
    <w:pPr>
      <w:numPr>
        <w:ilvl w:val="1"/>
      </w:numPr>
      <w:spacing w:before="0"/>
    </w:pPr>
    <w:rPr>
      <w:sz w:val="20"/>
    </w:rPr>
  </w:style>
  <w:style w:type="numbering" w:customStyle="1" w:styleId="Subtitles">
    <w:name w:val="Subtitles"/>
    <w:uiPriority w:val="99"/>
    <w:rsid w:val="00A75FD0"/>
    <w:pPr>
      <w:numPr>
        <w:numId w:val="5"/>
      </w:numPr>
    </w:pPr>
  </w:style>
  <w:style w:type="paragraph" w:customStyle="1" w:styleId="TableHeading">
    <w:name w:val="Table Heading"/>
    <w:basedOn w:val="Normal"/>
    <w:link w:val="TableHeadingChar"/>
    <w:qFormat/>
    <w:rsid w:val="003C08F7"/>
    <w:pPr>
      <w:spacing w:after="0" w:line="240" w:lineRule="auto"/>
      <w:jc w:val="center"/>
    </w:pPr>
    <w:rPr>
      <w:rFonts w:eastAsiaTheme="minorEastAsia" w:cs="Arial"/>
      <w:b/>
      <w:color w:val="FFFFFF" w:themeColor="background1"/>
      <w:sz w:val="22"/>
      <w:lang w:eastAsia="en-GB"/>
    </w:rPr>
  </w:style>
  <w:style w:type="character" w:customStyle="1" w:styleId="TableHeadingChar">
    <w:name w:val="Table Heading Char"/>
    <w:basedOn w:val="DefaultParagraphFont"/>
    <w:link w:val="TableHeading"/>
    <w:rsid w:val="003C08F7"/>
    <w:rPr>
      <w:rFonts w:ascii="Arial" w:eastAsiaTheme="minorEastAsia" w:hAnsi="Arial" w:cs="Arial"/>
      <w:b/>
      <w:color w:val="FFFFFF" w:themeColor="background1"/>
      <w:lang w:eastAsia="en-GB"/>
    </w:rPr>
  </w:style>
  <w:style w:type="character" w:customStyle="1" w:styleId="ListParagraphChar">
    <w:name w:val="List Paragraph Char"/>
    <w:aliases w:val="SEC Bullet Point Char,Dot pt Char,No Spacing1 Char,List Paragraph Char Char Char Char,Indicator Text Char,Numbered Para 1 Char,List Paragraph1 Char,Bullet 1 Char,Bullet Points Char,MAIN CONTENT Char,List Paragraph12 Char"/>
    <w:basedOn w:val="DefaultParagraphFont"/>
    <w:link w:val="ListParagraph"/>
    <w:qFormat/>
    <w:locked/>
    <w:rsid w:val="003C08F7"/>
    <w:rPr>
      <w:rFonts w:ascii="Arial" w:hAnsi="Arial"/>
      <w:color w:val="404040" w:themeColor="text1" w:themeTint="BF"/>
      <w:sz w:val="20"/>
    </w:rPr>
  </w:style>
  <w:style w:type="table" w:customStyle="1" w:styleId="TableGrid1">
    <w:name w:val="Table Grid1"/>
    <w:basedOn w:val="TableNormal"/>
    <w:uiPriority w:val="59"/>
    <w:rsid w:val="003C08F7"/>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3710"/>
    <w:rPr>
      <w:color w:val="0563C1"/>
      <w:u w:val="single"/>
    </w:rPr>
  </w:style>
  <w:style w:type="character" w:styleId="CommentReference">
    <w:name w:val="annotation reference"/>
    <w:basedOn w:val="DefaultParagraphFont"/>
    <w:uiPriority w:val="99"/>
    <w:semiHidden/>
    <w:unhideWhenUsed/>
    <w:rsid w:val="00810F76"/>
    <w:rPr>
      <w:sz w:val="16"/>
      <w:szCs w:val="16"/>
    </w:rPr>
  </w:style>
  <w:style w:type="paragraph" w:styleId="CommentText">
    <w:name w:val="annotation text"/>
    <w:basedOn w:val="Normal"/>
    <w:link w:val="CommentTextChar"/>
    <w:uiPriority w:val="99"/>
    <w:unhideWhenUsed/>
    <w:rsid w:val="00810F76"/>
    <w:pPr>
      <w:spacing w:line="240" w:lineRule="auto"/>
    </w:pPr>
    <w:rPr>
      <w:szCs w:val="20"/>
    </w:rPr>
  </w:style>
  <w:style w:type="character" w:customStyle="1" w:styleId="CommentTextChar">
    <w:name w:val="Comment Text Char"/>
    <w:basedOn w:val="DefaultParagraphFont"/>
    <w:link w:val="CommentText"/>
    <w:uiPriority w:val="99"/>
    <w:rsid w:val="00810F76"/>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810F76"/>
    <w:rPr>
      <w:b/>
      <w:bCs/>
    </w:rPr>
  </w:style>
  <w:style w:type="character" w:customStyle="1" w:styleId="CommentSubjectChar">
    <w:name w:val="Comment Subject Char"/>
    <w:basedOn w:val="CommentTextChar"/>
    <w:link w:val="CommentSubject"/>
    <w:uiPriority w:val="99"/>
    <w:semiHidden/>
    <w:rsid w:val="00810F76"/>
    <w:rPr>
      <w:rFonts w:ascii="Arial" w:hAnsi="Arial"/>
      <w:b/>
      <w:bCs/>
      <w:color w:val="404040" w:themeColor="text1" w:themeTint="BF"/>
      <w:sz w:val="20"/>
      <w:szCs w:val="20"/>
    </w:rPr>
  </w:style>
  <w:style w:type="paragraph" w:styleId="Revision">
    <w:name w:val="Revision"/>
    <w:hidden/>
    <w:uiPriority w:val="99"/>
    <w:semiHidden/>
    <w:rsid w:val="00AF1834"/>
    <w:pPr>
      <w:spacing w:after="0" w:line="240" w:lineRule="auto"/>
    </w:pPr>
    <w:rPr>
      <w:rFonts w:ascii="Arial" w:hAnsi="Arial"/>
      <w:color w:val="404040" w:themeColor="text1" w:themeTint="BF"/>
      <w:sz w:val="20"/>
    </w:rPr>
  </w:style>
  <w:style w:type="character" w:styleId="UnresolvedMention">
    <w:name w:val="Unresolved Mention"/>
    <w:basedOn w:val="DefaultParagraphFont"/>
    <w:uiPriority w:val="99"/>
    <w:semiHidden/>
    <w:unhideWhenUsed/>
    <w:rsid w:val="003025E2"/>
    <w:rPr>
      <w:color w:val="605E5C"/>
      <w:shd w:val="clear" w:color="auto" w:fill="E1DFDD"/>
    </w:rPr>
  </w:style>
  <w:style w:type="table" w:customStyle="1" w:styleId="TableGrid11">
    <w:name w:val="Table Grid11"/>
    <w:basedOn w:val="TableNormal"/>
    <w:uiPriority w:val="59"/>
    <w:rsid w:val="00E152A7"/>
    <w:pPr>
      <w:spacing w:after="0" w:line="240" w:lineRule="auto"/>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Normal"/>
    <w:next w:val="CommentText"/>
    <w:uiPriority w:val="99"/>
    <w:semiHidden/>
    <w:unhideWhenUsed/>
    <w:rsid w:val="00E152A7"/>
    <w:pPr>
      <w:spacing w:line="240" w:lineRule="auto"/>
    </w:pPr>
    <w:rPr>
      <w:color w:val="404040"/>
      <w:szCs w:val="20"/>
    </w:rPr>
  </w:style>
  <w:style w:type="paragraph" w:styleId="NormalWeb">
    <w:name w:val="Normal (Web)"/>
    <w:basedOn w:val="Normal"/>
    <w:uiPriority w:val="99"/>
    <w:semiHidden/>
    <w:unhideWhenUsed/>
    <w:rsid w:val="00172FCB"/>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2013">
      <w:bodyDiv w:val="1"/>
      <w:marLeft w:val="0"/>
      <w:marRight w:val="0"/>
      <w:marTop w:val="0"/>
      <w:marBottom w:val="0"/>
      <w:divBdr>
        <w:top w:val="none" w:sz="0" w:space="0" w:color="auto"/>
        <w:left w:val="none" w:sz="0" w:space="0" w:color="auto"/>
        <w:bottom w:val="none" w:sz="0" w:space="0" w:color="auto"/>
        <w:right w:val="none" w:sz="0" w:space="0" w:color="auto"/>
      </w:divBdr>
    </w:div>
    <w:div w:id="224269026">
      <w:bodyDiv w:val="1"/>
      <w:marLeft w:val="0"/>
      <w:marRight w:val="0"/>
      <w:marTop w:val="0"/>
      <w:marBottom w:val="0"/>
      <w:divBdr>
        <w:top w:val="none" w:sz="0" w:space="0" w:color="auto"/>
        <w:left w:val="none" w:sz="0" w:space="0" w:color="auto"/>
        <w:bottom w:val="none" w:sz="0" w:space="0" w:color="auto"/>
        <w:right w:val="none" w:sz="0" w:space="0" w:color="auto"/>
      </w:divBdr>
    </w:div>
    <w:div w:id="252518843">
      <w:bodyDiv w:val="1"/>
      <w:marLeft w:val="0"/>
      <w:marRight w:val="0"/>
      <w:marTop w:val="0"/>
      <w:marBottom w:val="0"/>
      <w:divBdr>
        <w:top w:val="none" w:sz="0" w:space="0" w:color="auto"/>
        <w:left w:val="none" w:sz="0" w:space="0" w:color="auto"/>
        <w:bottom w:val="none" w:sz="0" w:space="0" w:color="auto"/>
        <w:right w:val="none" w:sz="0" w:space="0" w:color="auto"/>
      </w:divBdr>
      <w:divsChild>
        <w:div w:id="1179855502">
          <w:marLeft w:val="360"/>
          <w:marRight w:val="0"/>
          <w:marTop w:val="200"/>
          <w:marBottom w:val="0"/>
          <w:divBdr>
            <w:top w:val="none" w:sz="0" w:space="0" w:color="auto"/>
            <w:left w:val="none" w:sz="0" w:space="0" w:color="auto"/>
            <w:bottom w:val="none" w:sz="0" w:space="0" w:color="auto"/>
            <w:right w:val="none" w:sz="0" w:space="0" w:color="auto"/>
          </w:divBdr>
        </w:div>
      </w:divsChild>
    </w:div>
    <w:div w:id="441612215">
      <w:bodyDiv w:val="1"/>
      <w:marLeft w:val="0"/>
      <w:marRight w:val="0"/>
      <w:marTop w:val="0"/>
      <w:marBottom w:val="0"/>
      <w:divBdr>
        <w:top w:val="none" w:sz="0" w:space="0" w:color="auto"/>
        <w:left w:val="none" w:sz="0" w:space="0" w:color="auto"/>
        <w:bottom w:val="none" w:sz="0" w:space="0" w:color="auto"/>
        <w:right w:val="none" w:sz="0" w:space="0" w:color="auto"/>
      </w:divBdr>
      <w:divsChild>
        <w:div w:id="1756315620">
          <w:marLeft w:val="360"/>
          <w:marRight w:val="0"/>
          <w:marTop w:val="200"/>
          <w:marBottom w:val="0"/>
          <w:divBdr>
            <w:top w:val="none" w:sz="0" w:space="0" w:color="auto"/>
            <w:left w:val="none" w:sz="0" w:space="0" w:color="auto"/>
            <w:bottom w:val="none" w:sz="0" w:space="0" w:color="auto"/>
            <w:right w:val="none" w:sz="0" w:space="0" w:color="auto"/>
          </w:divBdr>
        </w:div>
      </w:divsChild>
    </w:div>
    <w:div w:id="599147340">
      <w:bodyDiv w:val="1"/>
      <w:marLeft w:val="0"/>
      <w:marRight w:val="0"/>
      <w:marTop w:val="0"/>
      <w:marBottom w:val="0"/>
      <w:divBdr>
        <w:top w:val="none" w:sz="0" w:space="0" w:color="auto"/>
        <w:left w:val="none" w:sz="0" w:space="0" w:color="auto"/>
        <w:bottom w:val="none" w:sz="0" w:space="0" w:color="auto"/>
        <w:right w:val="none" w:sz="0" w:space="0" w:color="auto"/>
      </w:divBdr>
    </w:div>
    <w:div w:id="717389425">
      <w:bodyDiv w:val="1"/>
      <w:marLeft w:val="0"/>
      <w:marRight w:val="0"/>
      <w:marTop w:val="0"/>
      <w:marBottom w:val="0"/>
      <w:divBdr>
        <w:top w:val="none" w:sz="0" w:space="0" w:color="auto"/>
        <w:left w:val="none" w:sz="0" w:space="0" w:color="auto"/>
        <w:bottom w:val="none" w:sz="0" w:space="0" w:color="auto"/>
        <w:right w:val="none" w:sz="0" w:space="0" w:color="auto"/>
      </w:divBdr>
    </w:div>
    <w:div w:id="1094476975">
      <w:bodyDiv w:val="1"/>
      <w:marLeft w:val="0"/>
      <w:marRight w:val="0"/>
      <w:marTop w:val="0"/>
      <w:marBottom w:val="0"/>
      <w:divBdr>
        <w:top w:val="none" w:sz="0" w:space="0" w:color="auto"/>
        <w:left w:val="none" w:sz="0" w:space="0" w:color="auto"/>
        <w:bottom w:val="none" w:sz="0" w:space="0" w:color="auto"/>
        <w:right w:val="none" w:sz="0" w:space="0" w:color="auto"/>
      </w:divBdr>
      <w:divsChild>
        <w:div w:id="661278397">
          <w:marLeft w:val="547"/>
          <w:marRight w:val="0"/>
          <w:marTop w:val="0"/>
          <w:marBottom w:val="0"/>
          <w:divBdr>
            <w:top w:val="none" w:sz="0" w:space="0" w:color="auto"/>
            <w:left w:val="none" w:sz="0" w:space="0" w:color="auto"/>
            <w:bottom w:val="none" w:sz="0" w:space="0" w:color="auto"/>
            <w:right w:val="none" w:sz="0" w:space="0" w:color="auto"/>
          </w:divBdr>
        </w:div>
      </w:divsChild>
    </w:div>
    <w:div w:id="1114247011">
      <w:bodyDiv w:val="1"/>
      <w:marLeft w:val="0"/>
      <w:marRight w:val="0"/>
      <w:marTop w:val="0"/>
      <w:marBottom w:val="0"/>
      <w:divBdr>
        <w:top w:val="none" w:sz="0" w:space="0" w:color="auto"/>
        <w:left w:val="none" w:sz="0" w:space="0" w:color="auto"/>
        <w:bottom w:val="none" w:sz="0" w:space="0" w:color="auto"/>
        <w:right w:val="none" w:sz="0" w:space="0" w:color="auto"/>
      </w:divBdr>
    </w:div>
    <w:div w:id="1478912646">
      <w:bodyDiv w:val="1"/>
      <w:marLeft w:val="0"/>
      <w:marRight w:val="0"/>
      <w:marTop w:val="0"/>
      <w:marBottom w:val="0"/>
      <w:divBdr>
        <w:top w:val="none" w:sz="0" w:space="0" w:color="auto"/>
        <w:left w:val="none" w:sz="0" w:space="0" w:color="auto"/>
        <w:bottom w:val="none" w:sz="0" w:space="0" w:color="auto"/>
        <w:right w:val="none" w:sz="0" w:space="0" w:color="auto"/>
      </w:divBdr>
    </w:div>
    <w:div w:id="1531845610">
      <w:bodyDiv w:val="1"/>
      <w:marLeft w:val="0"/>
      <w:marRight w:val="0"/>
      <w:marTop w:val="0"/>
      <w:marBottom w:val="0"/>
      <w:divBdr>
        <w:top w:val="none" w:sz="0" w:space="0" w:color="auto"/>
        <w:left w:val="none" w:sz="0" w:space="0" w:color="auto"/>
        <w:bottom w:val="none" w:sz="0" w:space="0" w:color="auto"/>
        <w:right w:val="none" w:sz="0" w:space="0" w:color="auto"/>
      </w:divBdr>
      <w:divsChild>
        <w:div w:id="1448893255">
          <w:marLeft w:val="547"/>
          <w:marRight w:val="0"/>
          <w:marTop w:val="0"/>
          <w:marBottom w:val="0"/>
          <w:divBdr>
            <w:top w:val="none" w:sz="0" w:space="0" w:color="auto"/>
            <w:left w:val="none" w:sz="0" w:space="0" w:color="auto"/>
            <w:bottom w:val="none" w:sz="0" w:space="0" w:color="auto"/>
            <w:right w:val="none" w:sz="0" w:space="0" w:color="auto"/>
          </w:divBdr>
        </w:div>
      </w:divsChild>
    </w:div>
    <w:div w:id="1677877166">
      <w:bodyDiv w:val="1"/>
      <w:marLeft w:val="0"/>
      <w:marRight w:val="0"/>
      <w:marTop w:val="0"/>
      <w:marBottom w:val="0"/>
      <w:divBdr>
        <w:top w:val="none" w:sz="0" w:space="0" w:color="auto"/>
        <w:left w:val="none" w:sz="0" w:space="0" w:color="auto"/>
        <w:bottom w:val="none" w:sz="0" w:space="0" w:color="auto"/>
        <w:right w:val="none" w:sz="0" w:space="0" w:color="auto"/>
      </w:divBdr>
      <w:divsChild>
        <w:div w:id="62879678">
          <w:marLeft w:val="360"/>
          <w:marRight w:val="0"/>
          <w:marTop w:val="200"/>
          <w:marBottom w:val="0"/>
          <w:divBdr>
            <w:top w:val="none" w:sz="0" w:space="0" w:color="auto"/>
            <w:left w:val="none" w:sz="0" w:space="0" w:color="auto"/>
            <w:bottom w:val="none" w:sz="0" w:space="0" w:color="auto"/>
            <w:right w:val="none" w:sz="0" w:space="0" w:color="auto"/>
          </w:divBdr>
        </w:div>
      </w:divsChild>
    </w:div>
    <w:div w:id="1689595908">
      <w:bodyDiv w:val="1"/>
      <w:marLeft w:val="0"/>
      <w:marRight w:val="0"/>
      <w:marTop w:val="0"/>
      <w:marBottom w:val="0"/>
      <w:divBdr>
        <w:top w:val="none" w:sz="0" w:space="0" w:color="auto"/>
        <w:left w:val="none" w:sz="0" w:space="0" w:color="auto"/>
        <w:bottom w:val="none" w:sz="0" w:space="0" w:color="auto"/>
        <w:right w:val="none" w:sz="0" w:space="0" w:color="auto"/>
      </w:divBdr>
      <w:divsChild>
        <w:div w:id="152840664">
          <w:marLeft w:val="547"/>
          <w:marRight w:val="0"/>
          <w:marTop w:val="0"/>
          <w:marBottom w:val="0"/>
          <w:divBdr>
            <w:top w:val="none" w:sz="0" w:space="0" w:color="auto"/>
            <w:left w:val="none" w:sz="0" w:space="0" w:color="auto"/>
            <w:bottom w:val="none" w:sz="0" w:space="0" w:color="auto"/>
            <w:right w:val="none" w:sz="0" w:space="0" w:color="auto"/>
          </w:divBdr>
        </w:div>
      </w:divsChild>
    </w:div>
    <w:div w:id="1699041163">
      <w:bodyDiv w:val="1"/>
      <w:marLeft w:val="0"/>
      <w:marRight w:val="0"/>
      <w:marTop w:val="0"/>
      <w:marBottom w:val="0"/>
      <w:divBdr>
        <w:top w:val="none" w:sz="0" w:space="0" w:color="auto"/>
        <w:left w:val="none" w:sz="0" w:space="0" w:color="auto"/>
        <w:bottom w:val="none" w:sz="0" w:space="0" w:color="auto"/>
        <w:right w:val="none" w:sz="0" w:space="0" w:color="auto"/>
      </w:divBdr>
    </w:div>
    <w:div w:id="1699159126">
      <w:bodyDiv w:val="1"/>
      <w:marLeft w:val="0"/>
      <w:marRight w:val="0"/>
      <w:marTop w:val="0"/>
      <w:marBottom w:val="0"/>
      <w:divBdr>
        <w:top w:val="none" w:sz="0" w:space="0" w:color="auto"/>
        <w:left w:val="none" w:sz="0" w:space="0" w:color="auto"/>
        <w:bottom w:val="none" w:sz="0" w:space="0" w:color="auto"/>
        <w:right w:val="none" w:sz="0" w:space="0" w:color="auto"/>
      </w:divBdr>
      <w:divsChild>
        <w:div w:id="602349556">
          <w:marLeft w:val="360"/>
          <w:marRight w:val="0"/>
          <w:marTop w:val="200"/>
          <w:marBottom w:val="0"/>
          <w:divBdr>
            <w:top w:val="none" w:sz="0" w:space="0" w:color="auto"/>
            <w:left w:val="none" w:sz="0" w:space="0" w:color="auto"/>
            <w:bottom w:val="none" w:sz="0" w:space="0" w:color="auto"/>
            <w:right w:val="none" w:sz="0" w:space="0" w:color="auto"/>
          </w:divBdr>
        </w:div>
      </w:divsChild>
    </w:div>
    <w:div w:id="1921980961">
      <w:bodyDiv w:val="1"/>
      <w:marLeft w:val="0"/>
      <w:marRight w:val="0"/>
      <w:marTop w:val="0"/>
      <w:marBottom w:val="0"/>
      <w:divBdr>
        <w:top w:val="none" w:sz="0" w:space="0" w:color="auto"/>
        <w:left w:val="none" w:sz="0" w:space="0" w:color="auto"/>
        <w:bottom w:val="none" w:sz="0" w:space="0" w:color="auto"/>
        <w:right w:val="none" w:sz="0" w:space="0" w:color="auto"/>
      </w:divBdr>
    </w:div>
    <w:div w:id="1940984203">
      <w:bodyDiv w:val="1"/>
      <w:marLeft w:val="0"/>
      <w:marRight w:val="0"/>
      <w:marTop w:val="0"/>
      <w:marBottom w:val="0"/>
      <w:divBdr>
        <w:top w:val="none" w:sz="0" w:space="0" w:color="auto"/>
        <w:left w:val="none" w:sz="0" w:space="0" w:color="auto"/>
        <w:bottom w:val="none" w:sz="0" w:space="0" w:color="auto"/>
        <w:right w:val="none" w:sz="0" w:space="0" w:color="auto"/>
      </w:divBdr>
      <w:divsChild>
        <w:div w:id="5521572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685C8-F546-4FB1-80A5-E949013C1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4</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MP096 - Working Group meeting summary</vt:lpstr>
    </vt:vector>
  </TitlesOfParts>
  <Company>Gemserv</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MP116 - Working Group meeting summary</dc:title>
  <dc:creator>Bradley Baker</dc:creator>
  <cp:lastModifiedBy>Bradley Baker</cp:lastModifiedBy>
  <cp:revision>13</cp:revision>
  <cp:lastPrinted>2020-10-20T09:46:00Z</cp:lastPrinted>
  <dcterms:created xsi:type="dcterms:W3CDTF">2021-07-06T16:09:00Z</dcterms:created>
  <dcterms:modified xsi:type="dcterms:W3CDTF">2021-07-13T09:19:00Z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2021-04-15T09:50:04Z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f527d1c4-141e-4f1b-ad4e-a1a821d7d4ff</vt:lpwstr>
  </property>
  <property fmtid="{D5CDD505-2E9C-101B-9397-08002B2CF9AE}" pid="8" name="MSIP_Label_ba62f585-b40f-4ab9-bafe-39150f03d124_ContentBits">
    <vt:lpwstr>0</vt:lpwstr>
  </property>
</Properties>
</file>