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FD814" w14:textId="42E80E25" w:rsidR="003423F3" w:rsidRDefault="003423F3" w:rsidP="003423F3">
      <w:pPr>
        <w:pStyle w:val="SECPaperTitle"/>
        <w:spacing w:before="0" w:after="240"/>
        <w:rPr>
          <w:sz w:val="30"/>
          <w:szCs w:val="30"/>
        </w:rPr>
      </w:pPr>
      <w:r>
        <w:rPr>
          <w:noProof/>
          <w:lang w:eastAsia="en-GB"/>
        </w:rPr>
        <mc:AlternateContent>
          <mc:Choice Requires="wps">
            <w:drawing>
              <wp:anchor distT="45720" distB="45720" distL="114300" distR="114300" simplePos="0" relativeHeight="251661312" behindDoc="0" locked="0" layoutInCell="1" allowOverlap="1" wp14:anchorId="471CF36B" wp14:editId="3CB33433">
                <wp:simplePos x="0" y="0"/>
                <wp:positionH relativeFrom="margin">
                  <wp:align>left</wp:align>
                </wp:positionH>
                <wp:positionV relativeFrom="paragraph">
                  <wp:posOffset>0</wp:posOffset>
                </wp:positionV>
                <wp:extent cx="5770880" cy="466725"/>
                <wp:effectExtent l="0" t="0" r="2032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880" cy="466725"/>
                        </a:xfrm>
                        <a:prstGeom prst="rect">
                          <a:avLst/>
                        </a:prstGeom>
                        <a:solidFill>
                          <a:srgbClr val="FFFFFF"/>
                        </a:solidFill>
                        <a:ln w="9525">
                          <a:solidFill>
                            <a:srgbClr val="000000"/>
                          </a:solidFill>
                          <a:miter lim="800000"/>
                          <a:headEnd/>
                          <a:tailEnd/>
                        </a:ln>
                      </wps:spPr>
                      <wps:txbx>
                        <w:txbxContent>
                          <w:p w14:paraId="1839FB94" w14:textId="77777777" w:rsidR="003423F3" w:rsidRPr="001606E0" w:rsidRDefault="003423F3" w:rsidP="003423F3">
                            <w:r w:rsidRPr="002C642C">
                              <w:rPr>
                                <w:rFonts w:cs="Arial"/>
                              </w:rPr>
                              <w:t xml:space="preserve">This document is classified as </w:t>
                            </w:r>
                            <w:r w:rsidRPr="002C642C">
                              <w:rPr>
                                <w:rFonts w:cs="Arial"/>
                                <w:b/>
                              </w:rPr>
                              <w:t xml:space="preserve">White </w:t>
                            </w:r>
                            <w:r w:rsidRPr="002C642C">
                              <w:rPr>
                                <w:rFonts w:cs="Arial"/>
                              </w:rPr>
                              <w:t>in accordance with the Panel Information Policy. Information can be shared with the public</w:t>
                            </w:r>
                            <w:r>
                              <w:rPr>
                                <w:rFonts w:cs="Arial"/>
                              </w:rPr>
                              <w:t>,</w:t>
                            </w:r>
                            <w:r w:rsidRPr="002C642C">
                              <w:rPr>
                                <w:rFonts w:cs="Arial"/>
                              </w:rPr>
                              <w:t xml:space="preserve"> and any members may publish the information, subject to copyright</w:t>
                            </w:r>
                            <w:r>
                              <w:t xml:space="preserve">. </w:t>
                            </w:r>
                          </w:p>
                          <w:p w14:paraId="03752441" w14:textId="77777777" w:rsidR="003423F3" w:rsidRPr="003D092C" w:rsidRDefault="003423F3" w:rsidP="003423F3">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1CF36B" id="_x0000_t202" coordsize="21600,21600" o:spt="202" path="m,l,21600r21600,l21600,xe">
                <v:stroke joinstyle="miter"/>
                <v:path gradientshapeok="t" o:connecttype="rect"/>
              </v:shapetype>
              <v:shape id="Text Box 2" o:spid="_x0000_s1026" type="#_x0000_t202" style="position:absolute;left:0;text-align:left;margin-left:0;margin-top:0;width:454.4pt;height:36.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">
                <v:textbox>
                  <w:txbxContent>
                    <w:p w14:paraId="1839FB94" w14:textId="77777777" w:rsidR="003423F3" w:rsidRPr="001606E0" w:rsidRDefault="003423F3" w:rsidP="003423F3">
                      <w:r w:rsidRPr="002C642C">
                        <w:rPr>
                          <w:rFonts w:cs="Arial"/>
                        </w:rPr>
                        <w:t xml:space="preserve">This document is classified as </w:t>
                      </w:r>
                      <w:r w:rsidRPr="002C642C">
                        <w:rPr>
                          <w:rFonts w:cs="Arial"/>
                          <w:b/>
                        </w:rPr>
                        <w:t xml:space="preserve">White </w:t>
                      </w:r>
                      <w:r w:rsidRPr="002C642C">
                        <w:rPr>
                          <w:rFonts w:cs="Arial"/>
                        </w:rPr>
                        <w:t>in accordance with the Panel Information Policy. Information can be shared with the public</w:t>
                      </w:r>
                      <w:r>
                        <w:rPr>
                          <w:rFonts w:cs="Arial"/>
                        </w:rPr>
                        <w:t>,</w:t>
                      </w:r>
                      <w:r w:rsidRPr="002C642C">
                        <w:rPr>
                          <w:rFonts w:cs="Arial"/>
                        </w:rPr>
                        <w:t xml:space="preserve"> and any members may publish the information, subject to copyright</w:t>
                      </w:r>
                      <w:r>
                        <w:t xml:space="preserve">. </w:t>
                      </w:r>
                    </w:p>
                    <w:p w14:paraId="03752441" w14:textId="77777777" w:rsidR="003423F3" w:rsidRPr="003D092C" w:rsidRDefault="003423F3" w:rsidP="003423F3">
                      <w:pPr>
                        <w:rPr>
                          <w:sz w:val="24"/>
                        </w:rPr>
                      </w:pPr>
                    </w:p>
                  </w:txbxContent>
                </v:textbox>
                <w10:wrap type="square" anchorx="margin"/>
              </v:shape>
            </w:pict>
          </mc:Fallback>
        </mc:AlternateContent>
      </w:r>
      <w:r w:rsidR="00A1169C">
        <w:rPr>
          <w:noProof/>
          <w:lang w:eastAsia="en-GB"/>
        </w:rPr>
        <w:t>MP</w:t>
      </w:r>
      <w:r w:rsidR="007D2660">
        <w:rPr>
          <w:noProof/>
          <w:lang w:eastAsia="en-GB"/>
        </w:rPr>
        <w:t>1</w:t>
      </w:r>
      <w:r w:rsidR="006B6744">
        <w:rPr>
          <w:noProof/>
          <w:lang w:eastAsia="en-GB"/>
        </w:rPr>
        <w:t>16</w:t>
      </w:r>
      <w:r>
        <w:rPr>
          <w:sz w:val="30"/>
          <w:szCs w:val="30"/>
        </w:rPr>
        <w:t xml:space="preserve"> ‘</w:t>
      </w:r>
      <w:r w:rsidR="006B6744">
        <w:rPr>
          <w:sz w:val="30"/>
          <w:szCs w:val="30"/>
        </w:rPr>
        <w:t>Service Request Forecasting’</w:t>
      </w:r>
    </w:p>
    <w:p w14:paraId="4AF16256" w14:textId="3B6D1EA3" w:rsidR="00B13710" w:rsidRDefault="007D2660" w:rsidP="00B13710">
      <w:pPr>
        <w:pStyle w:val="SECPaperTitle"/>
        <w:spacing w:before="0" w:after="240"/>
        <w:rPr>
          <w:sz w:val="30"/>
          <w:szCs w:val="30"/>
        </w:rPr>
      </w:pPr>
      <w:r>
        <w:rPr>
          <w:sz w:val="30"/>
          <w:szCs w:val="30"/>
        </w:rPr>
        <w:t>May</w:t>
      </w:r>
      <w:r w:rsidR="003B12CA">
        <w:rPr>
          <w:sz w:val="30"/>
          <w:szCs w:val="30"/>
        </w:rPr>
        <w:t xml:space="preserve"> 2021</w:t>
      </w:r>
      <w:r w:rsidR="00B13710">
        <w:rPr>
          <w:sz w:val="30"/>
          <w:szCs w:val="30"/>
        </w:rPr>
        <w:t xml:space="preserve"> </w:t>
      </w:r>
      <w:r w:rsidR="003423F3">
        <w:rPr>
          <w:sz w:val="30"/>
          <w:szCs w:val="30"/>
        </w:rPr>
        <w:t xml:space="preserve">Working Group </w:t>
      </w:r>
      <w:r w:rsidR="000C423C">
        <w:rPr>
          <w:sz w:val="30"/>
          <w:szCs w:val="30"/>
        </w:rPr>
        <w:t xml:space="preserve">– </w:t>
      </w:r>
      <w:r w:rsidR="002A76CA">
        <w:rPr>
          <w:sz w:val="30"/>
          <w:szCs w:val="30"/>
        </w:rPr>
        <w:t>me</w:t>
      </w:r>
      <w:r w:rsidR="003423F3" w:rsidRPr="008E76FA">
        <w:rPr>
          <w:sz w:val="30"/>
          <w:szCs w:val="30"/>
        </w:rPr>
        <w:t>eting</w:t>
      </w:r>
      <w:r w:rsidR="002A76CA">
        <w:rPr>
          <w:sz w:val="30"/>
          <w:szCs w:val="30"/>
        </w:rPr>
        <w:t xml:space="preserve"> </w:t>
      </w:r>
      <w:proofErr w:type="gramStart"/>
      <w:r w:rsidR="002A76CA">
        <w:rPr>
          <w:sz w:val="30"/>
          <w:szCs w:val="30"/>
        </w:rPr>
        <w:t>summary</w:t>
      </w:r>
      <w:proofErr w:type="gramEnd"/>
    </w:p>
    <w:p w14:paraId="29566CD0" w14:textId="006069B0" w:rsidR="00564EBA" w:rsidRDefault="00564EBA" w:rsidP="00F556BC">
      <w:pPr>
        <w:pStyle w:val="Subtitle"/>
      </w:pPr>
      <w:r>
        <w:t>Attendees</w:t>
      </w:r>
    </w:p>
    <w:tbl>
      <w:tblPr>
        <w:tblStyle w:val="TableGrid11"/>
        <w:tblW w:w="2906" w:type="pct"/>
        <w:jc w:val="center"/>
        <w:tblInd w:w="0" w:type="dxa"/>
        <w:tblLook w:val="04A0" w:firstRow="1" w:lastRow="0" w:firstColumn="1" w:lastColumn="0" w:noHBand="0" w:noVBand="1"/>
      </w:tblPr>
      <w:tblGrid>
        <w:gridCol w:w="2620"/>
        <w:gridCol w:w="2620"/>
      </w:tblGrid>
      <w:tr w:rsidR="00240295" w:rsidRPr="00EA5CE8" w14:paraId="19ABFD79" w14:textId="77777777" w:rsidTr="0019094C">
        <w:trPr>
          <w:trHeight w:val="514"/>
          <w:jc w:val="center"/>
        </w:trPr>
        <w:tc>
          <w:tcPr>
            <w:tcW w:w="2500" w:type="pct"/>
            <w:tcBorders>
              <w:top w:val="single" w:sz="4" w:space="0" w:color="auto"/>
              <w:left w:val="single" w:sz="4" w:space="0" w:color="auto"/>
              <w:bottom w:val="single" w:sz="4" w:space="0" w:color="auto"/>
              <w:right w:val="single" w:sz="4" w:space="0" w:color="auto"/>
            </w:tcBorders>
            <w:shd w:val="clear" w:color="auto" w:fill="17A800"/>
            <w:vAlign w:val="center"/>
          </w:tcPr>
          <w:p w14:paraId="13F3A7B8" w14:textId="77777777" w:rsidR="00240295" w:rsidRPr="00EA5CE8" w:rsidRDefault="00240295" w:rsidP="0019094C">
            <w:pPr>
              <w:jc w:val="center"/>
              <w:rPr>
                <w:rFonts w:cs="Arial"/>
                <w:b/>
                <w:color w:val="FFFFFF"/>
                <w:lang w:eastAsia="en-GB"/>
              </w:rPr>
            </w:pPr>
            <w:r w:rsidRPr="00EA5CE8">
              <w:rPr>
                <w:rFonts w:cs="Arial"/>
                <w:b/>
                <w:color w:val="FFFFFF"/>
                <w:lang w:eastAsia="en-GB"/>
              </w:rPr>
              <w:t>Attendee</w:t>
            </w:r>
          </w:p>
        </w:tc>
        <w:tc>
          <w:tcPr>
            <w:tcW w:w="2500" w:type="pct"/>
            <w:tcBorders>
              <w:top w:val="single" w:sz="4" w:space="0" w:color="auto"/>
              <w:left w:val="single" w:sz="4" w:space="0" w:color="auto"/>
              <w:bottom w:val="single" w:sz="4" w:space="0" w:color="auto"/>
              <w:right w:val="single" w:sz="4" w:space="0" w:color="auto"/>
            </w:tcBorders>
            <w:shd w:val="clear" w:color="auto" w:fill="17A800"/>
            <w:vAlign w:val="center"/>
          </w:tcPr>
          <w:p w14:paraId="0575F7B1" w14:textId="77777777" w:rsidR="00240295" w:rsidRPr="00EA5CE8" w:rsidRDefault="00240295" w:rsidP="0019094C">
            <w:pPr>
              <w:jc w:val="center"/>
              <w:rPr>
                <w:rFonts w:cs="Arial"/>
                <w:b/>
                <w:color w:val="FFFFFF"/>
                <w:lang w:eastAsia="en-GB"/>
              </w:rPr>
            </w:pPr>
            <w:r w:rsidRPr="00EA5CE8">
              <w:rPr>
                <w:rFonts w:cs="Arial"/>
                <w:b/>
                <w:color w:val="FFFFFF"/>
                <w:lang w:eastAsia="en-GB"/>
              </w:rPr>
              <w:t>Organisation</w:t>
            </w:r>
          </w:p>
        </w:tc>
      </w:tr>
      <w:tr w:rsidR="00240295" w:rsidRPr="00EA5CE8" w14:paraId="405DD315" w14:textId="77777777" w:rsidTr="0019094C">
        <w:trPr>
          <w:trHeight w:val="285"/>
          <w:jc w:val="center"/>
        </w:trPr>
        <w:tc>
          <w:tcPr>
            <w:tcW w:w="2500" w:type="pct"/>
            <w:tcBorders>
              <w:top w:val="single" w:sz="4" w:space="0" w:color="auto"/>
              <w:left w:val="single" w:sz="4" w:space="0" w:color="auto"/>
              <w:bottom w:val="single" w:sz="4" w:space="0" w:color="auto"/>
              <w:right w:val="single" w:sz="4" w:space="0" w:color="auto"/>
            </w:tcBorders>
          </w:tcPr>
          <w:p w14:paraId="7627B8F6" w14:textId="77777777" w:rsidR="00240295" w:rsidRPr="006F116D" w:rsidRDefault="00240295" w:rsidP="0019094C">
            <w:pPr>
              <w:spacing w:before="30" w:after="30" w:line="276" w:lineRule="auto"/>
              <w:rPr>
                <w:rFonts w:eastAsia="Calibri" w:cs="Arial"/>
                <w:color w:val="404040"/>
                <w:szCs w:val="20"/>
                <w:lang w:eastAsia="en-GB"/>
              </w:rPr>
            </w:pPr>
            <w:r w:rsidRPr="006F116D">
              <w:rPr>
                <w:rFonts w:eastAsia="Calibri" w:cs="Arial"/>
                <w:color w:val="404040"/>
                <w:szCs w:val="20"/>
                <w:lang w:eastAsia="en-GB"/>
              </w:rPr>
              <w:t>Ali Beard</w:t>
            </w:r>
          </w:p>
        </w:tc>
        <w:tc>
          <w:tcPr>
            <w:tcW w:w="2500" w:type="pct"/>
            <w:tcBorders>
              <w:top w:val="single" w:sz="4" w:space="0" w:color="auto"/>
              <w:left w:val="single" w:sz="4" w:space="0" w:color="auto"/>
              <w:bottom w:val="single" w:sz="4" w:space="0" w:color="auto"/>
              <w:right w:val="single" w:sz="4" w:space="0" w:color="auto"/>
            </w:tcBorders>
          </w:tcPr>
          <w:p w14:paraId="6CEFA36F" w14:textId="77777777" w:rsidR="00240295" w:rsidRPr="006F116D" w:rsidRDefault="00240295" w:rsidP="0019094C">
            <w:pPr>
              <w:spacing w:before="30" w:after="30" w:line="276" w:lineRule="auto"/>
              <w:rPr>
                <w:rFonts w:eastAsia="Calibri" w:cs="Times New Roman"/>
                <w:color w:val="404040"/>
                <w:lang w:eastAsia="en-GB"/>
              </w:rPr>
            </w:pPr>
            <w:r w:rsidRPr="006F116D">
              <w:rPr>
                <w:rFonts w:eastAsia="Calibri" w:cs="Times New Roman"/>
                <w:color w:val="404040"/>
                <w:lang w:eastAsia="en-GB"/>
              </w:rPr>
              <w:t>SECAS</w:t>
            </w:r>
          </w:p>
        </w:tc>
      </w:tr>
      <w:tr w:rsidR="00240295" w:rsidRPr="00EA5CE8" w14:paraId="5ADC6BB0" w14:textId="77777777" w:rsidTr="0019094C">
        <w:trPr>
          <w:trHeight w:val="285"/>
          <w:jc w:val="center"/>
        </w:trPr>
        <w:tc>
          <w:tcPr>
            <w:tcW w:w="2500" w:type="pct"/>
            <w:tcBorders>
              <w:top w:val="single" w:sz="4" w:space="0" w:color="auto"/>
              <w:left w:val="single" w:sz="4" w:space="0" w:color="auto"/>
              <w:bottom w:val="single" w:sz="4" w:space="0" w:color="auto"/>
              <w:right w:val="single" w:sz="4" w:space="0" w:color="auto"/>
            </w:tcBorders>
          </w:tcPr>
          <w:p w14:paraId="6A77ACE9" w14:textId="77777777" w:rsidR="00240295" w:rsidRPr="006F116D" w:rsidRDefault="00240295" w:rsidP="0019094C">
            <w:pPr>
              <w:spacing w:before="30" w:after="30"/>
              <w:rPr>
                <w:rFonts w:eastAsia="Calibri" w:cs="Arial"/>
                <w:color w:val="404040"/>
                <w:szCs w:val="20"/>
                <w:lang w:eastAsia="en-GB"/>
              </w:rPr>
            </w:pPr>
            <w:r w:rsidRPr="006F116D">
              <w:rPr>
                <w:rFonts w:eastAsia="Calibri" w:cs="Arial"/>
                <w:color w:val="404040"/>
                <w:szCs w:val="20"/>
                <w:lang w:eastAsia="en-GB"/>
              </w:rPr>
              <w:t>Holly Burton</w:t>
            </w:r>
          </w:p>
        </w:tc>
        <w:tc>
          <w:tcPr>
            <w:tcW w:w="2500" w:type="pct"/>
            <w:tcBorders>
              <w:top w:val="single" w:sz="4" w:space="0" w:color="auto"/>
              <w:left w:val="single" w:sz="4" w:space="0" w:color="auto"/>
              <w:bottom w:val="single" w:sz="4" w:space="0" w:color="auto"/>
              <w:right w:val="single" w:sz="4" w:space="0" w:color="auto"/>
            </w:tcBorders>
          </w:tcPr>
          <w:p w14:paraId="0C315026" w14:textId="77777777" w:rsidR="00240295" w:rsidRPr="006F116D" w:rsidRDefault="00240295" w:rsidP="0019094C">
            <w:pPr>
              <w:spacing w:before="30" w:after="30"/>
              <w:rPr>
                <w:rFonts w:eastAsia="Calibri" w:cs="Times New Roman"/>
                <w:color w:val="404040"/>
                <w:lang w:eastAsia="en-GB"/>
              </w:rPr>
            </w:pPr>
            <w:r w:rsidRPr="006F116D">
              <w:rPr>
                <w:rFonts w:eastAsia="Calibri" w:cs="Times New Roman"/>
                <w:color w:val="404040"/>
                <w:lang w:eastAsia="en-GB"/>
              </w:rPr>
              <w:t>SECAS</w:t>
            </w:r>
          </w:p>
        </w:tc>
      </w:tr>
      <w:tr w:rsidR="00240295" w:rsidRPr="00EA5CE8" w14:paraId="3C4BAC0E" w14:textId="77777777" w:rsidTr="0019094C">
        <w:trPr>
          <w:trHeight w:val="285"/>
          <w:jc w:val="center"/>
        </w:trPr>
        <w:tc>
          <w:tcPr>
            <w:tcW w:w="2500" w:type="pct"/>
            <w:tcBorders>
              <w:top w:val="single" w:sz="4" w:space="0" w:color="auto"/>
              <w:left w:val="single" w:sz="4" w:space="0" w:color="auto"/>
              <w:bottom w:val="single" w:sz="4" w:space="0" w:color="auto"/>
              <w:right w:val="single" w:sz="4" w:space="0" w:color="auto"/>
            </w:tcBorders>
          </w:tcPr>
          <w:p w14:paraId="551C2D61" w14:textId="77777777" w:rsidR="00240295" w:rsidRPr="006F116D" w:rsidRDefault="00240295" w:rsidP="0019094C">
            <w:pPr>
              <w:spacing w:before="30" w:after="30"/>
              <w:rPr>
                <w:rFonts w:cs="Arial"/>
                <w:color w:val="404040"/>
                <w:szCs w:val="20"/>
                <w:lang w:eastAsia="en-GB"/>
              </w:rPr>
            </w:pPr>
            <w:r w:rsidRPr="006F116D">
              <w:rPr>
                <w:rFonts w:cs="Arial"/>
                <w:color w:val="404040"/>
                <w:szCs w:val="20"/>
                <w:lang w:eastAsia="en-GB"/>
              </w:rPr>
              <w:t>Harry Jones</w:t>
            </w:r>
          </w:p>
        </w:tc>
        <w:tc>
          <w:tcPr>
            <w:tcW w:w="2500" w:type="pct"/>
            <w:tcBorders>
              <w:top w:val="single" w:sz="4" w:space="0" w:color="auto"/>
              <w:left w:val="single" w:sz="4" w:space="0" w:color="auto"/>
              <w:bottom w:val="single" w:sz="4" w:space="0" w:color="auto"/>
              <w:right w:val="single" w:sz="4" w:space="0" w:color="auto"/>
            </w:tcBorders>
          </w:tcPr>
          <w:p w14:paraId="3505D867" w14:textId="77777777" w:rsidR="00240295" w:rsidRPr="006F116D" w:rsidRDefault="00240295" w:rsidP="0019094C">
            <w:pPr>
              <w:spacing w:before="30" w:after="30"/>
              <w:rPr>
                <w:rFonts w:cs="Times New Roman"/>
                <w:color w:val="404040"/>
                <w:lang w:eastAsia="en-GB"/>
              </w:rPr>
            </w:pPr>
            <w:r w:rsidRPr="006F116D">
              <w:rPr>
                <w:rFonts w:cs="Times New Roman"/>
                <w:color w:val="404040"/>
                <w:lang w:eastAsia="en-GB"/>
              </w:rPr>
              <w:t>SECAS</w:t>
            </w:r>
          </w:p>
        </w:tc>
      </w:tr>
      <w:tr w:rsidR="00240295" w:rsidRPr="00EA5CE8" w14:paraId="6EACE881" w14:textId="77777777" w:rsidTr="0019094C">
        <w:trPr>
          <w:trHeight w:val="285"/>
          <w:jc w:val="center"/>
        </w:trPr>
        <w:tc>
          <w:tcPr>
            <w:tcW w:w="2500" w:type="pct"/>
            <w:tcBorders>
              <w:top w:val="single" w:sz="4" w:space="0" w:color="auto"/>
              <w:left w:val="single" w:sz="4" w:space="0" w:color="auto"/>
              <w:bottom w:val="single" w:sz="4" w:space="0" w:color="auto"/>
              <w:right w:val="single" w:sz="4" w:space="0" w:color="auto"/>
            </w:tcBorders>
          </w:tcPr>
          <w:p w14:paraId="3E145740" w14:textId="77777777" w:rsidR="00240295" w:rsidRPr="006F116D" w:rsidRDefault="00240295" w:rsidP="0019094C">
            <w:pPr>
              <w:spacing w:before="30" w:after="30"/>
              <w:rPr>
                <w:rFonts w:cs="Arial"/>
                <w:color w:val="404040"/>
                <w:szCs w:val="20"/>
                <w:lang w:eastAsia="en-GB"/>
              </w:rPr>
            </w:pPr>
            <w:r w:rsidRPr="006F116D">
              <w:rPr>
                <w:rFonts w:cs="Arial"/>
                <w:color w:val="404040"/>
                <w:szCs w:val="20"/>
                <w:lang w:eastAsia="en-GB"/>
              </w:rPr>
              <w:t>Bradley Baker</w:t>
            </w:r>
          </w:p>
        </w:tc>
        <w:tc>
          <w:tcPr>
            <w:tcW w:w="2500" w:type="pct"/>
            <w:tcBorders>
              <w:top w:val="single" w:sz="4" w:space="0" w:color="auto"/>
              <w:left w:val="single" w:sz="4" w:space="0" w:color="auto"/>
              <w:bottom w:val="single" w:sz="4" w:space="0" w:color="auto"/>
              <w:right w:val="single" w:sz="4" w:space="0" w:color="auto"/>
            </w:tcBorders>
          </w:tcPr>
          <w:p w14:paraId="2D63F4A3" w14:textId="77777777" w:rsidR="00240295" w:rsidRPr="006F116D" w:rsidRDefault="00240295" w:rsidP="0019094C">
            <w:pPr>
              <w:spacing w:before="30" w:after="30"/>
              <w:rPr>
                <w:rFonts w:cs="Times New Roman"/>
                <w:color w:val="404040"/>
                <w:lang w:eastAsia="en-GB"/>
              </w:rPr>
            </w:pPr>
            <w:r w:rsidRPr="006F116D">
              <w:rPr>
                <w:rFonts w:cs="Times New Roman"/>
                <w:color w:val="404040"/>
                <w:lang w:eastAsia="en-GB"/>
              </w:rPr>
              <w:t>SECAS</w:t>
            </w:r>
          </w:p>
        </w:tc>
      </w:tr>
      <w:tr w:rsidR="00240295" w:rsidRPr="00EA5CE8" w14:paraId="0B981C0F" w14:textId="77777777" w:rsidTr="0019094C">
        <w:trPr>
          <w:trHeight w:val="285"/>
          <w:jc w:val="center"/>
        </w:trPr>
        <w:tc>
          <w:tcPr>
            <w:tcW w:w="2500" w:type="pct"/>
            <w:tcBorders>
              <w:top w:val="single" w:sz="4" w:space="0" w:color="auto"/>
              <w:left w:val="single" w:sz="4" w:space="0" w:color="auto"/>
              <w:bottom w:val="single" w:sz="4" w:space="0" w:color="auto"/>
              <w:right w:val="single" w:sz="4" w:space="0" w:color="auto"/>
            </w:tcBorders>
          </w:tcPr>
          <w:p w14:paraId="7A608E27" w14:textId="77777777" w:rsidR="00240295" w:rsidRPr="006F116D" w:rsidRDefault="00240295" w:rsidP="0019094C">
            <w:pPr>
              <w:spacing w:before="30" w:after="30"/>
              <w:rPr>
                <w:rFonts w:cs="Arial"/>
                <w:color w:val="404040"/>
                <w:szCs w:val="20"/>
                <w:lang w:eastAsia="en-GB"/>
              </w:rPr>
            </w:pPr>
            <w:r w:rsidRPr="006F116D">
              <w:rPr>
                <w:rFonts w:cs="Arial"/>
                <w:color w:val="404040"/>
                <w:szCs w:val="20"/>
                <w:lang w:eastAsia="en-GB"/>
              </w:rPr>
              <w:t>Khaleda Hussain</w:t>
            </w:r>
          </w:p>
        </w:tc>
        <w:tc>
          <w:tcPr>
            <w:tcW w:w="2500" w:type="pct"/>
            <w:tcBorders>
              <w:top w:val="single" w:sz="4" w:space="0" w:color="auto"/>
              <w:left w:val="single" w:sz="4" w:space="0" w:color="auto"/>
              <w:bottom w:val="single" w:sz="4" w:space="0" w:color="auto"/>
              <w:right w:val="single" w:sz="4" w:space="0" w:color="auto"/>
            </w:tcBorders>
          </w:tcPr>
          <w:p w14:paraId="653A6095" w14:textId="77777777" w:rsidR="00240295" w:rsidRPr="006F116D" w:rsidRDefault="00240295" w:rsidP="0019094C">
            <w:pPr>
              <w:spacing w:before="30" w:after="30"/>
              <w:rPr>
                <w:rFonts w:cs="Times New Roman"/>
                <w:color w:val="404040"/>
                <w:lang w:eastAsia="en-GB"/>
              </w:rPr>
            </w:pPr>
            <w:r w:rsidRPr="006F116D">
              <w:rPr>
                <w:rFonts w:cs="Times New Roman"/>
                <w:color w:val="404040"/>
                <w:lang w:eastAsia="en-GB"/>
              </w:rPr>
              <w:t>SECAS</w:t>
            </w:r>
          </w:p>
        </w:tc>
      </w:tr>
      <w:tr w:rsidR="00240295" w:rsidRPr="00EA5CE8" w14:paraId="6A822790" w14:textId="77777777" w:rsidTr="0019094C">
        <w:trPr>
          <w:trHeight w:val="285"/>
          <w:jc w:val="center"/>
        </w:trPr>
        <w:tc>
          <w:tcPr>
            <w:tcW w:w="2500" w:type="pct"/>
            <w:tcBorders>
              <w:top w:val="single" w:sz="4" w:space="0" w:color="auto"/>
              <w:left w:val="single" w:sz="4" w:space="0" w:color="auto"/>
              <w:bottom w:val="single" w:sz="4" w:space="0" w:color="auto"/>
              <w:right w:val="single" w:sz="4" w:space="0" w:color="auto"/>
            </w:tcBorders>
          </w:tcPr>
          <w:p w14:paraId="65791C73" w14:textId="77777777" w:rsidR="00240295" w:rsidRPr="006F116D" w:rsidRDefault="00240295" w:rsidP="0019094C">
            <w:pPr>
              <w:spacing w:before="30" w:after="30"/>
              <w:rPr>
                <w:rFonts w:cs="Arial"/>
                <w:color w:val="404040"/>
                <w:szCs w:val="20"/>
                <w:lang w:eastAsia="en-GB"/>
              </w:rPr>
            </w:pPr>
            <w:r w:rsidRPr="006F116D">
              <w:rPr>
                <w:rFonts w:cs="Arial"/>
                <w:color w:val="404040"/>
                <w:szCs w:val="20"/>
                <w:lang w:eastAsia="en-GB"/>
              </w:rPr>
              <w:t>Joey Manners</w:t>
            </w:r>
          </w:p>
        </w:tc>
        <w:tc>
          <w:tcPr>
            <w:tcW w:w="2500" w:type="pct"/>
            <w:tcBorders>
              <w:top w:val="single" w:sz="4" w:space="0" w:color="auto"/>
              <w:left w:val="single" w:sz="4" w:space="0" w:color="auto"/>
              <w:bottom w:val="single" w:sz="4" w:space="0" w:color="auto"/>
              <w:right w:val="single" w:sz="4" w:space="0" w:color="auto"/>
            </w:tcBorders>
          </w:tcPr>
          <w:p w14:paraId="72456009" w14:textId="77777777" w:rsidR="00240295" w:rsidRPr="006F116D" w:rsidRDefault="00240295" w:rsidP="0019094C">
            <w:pPr>
              <w:spacing w:before="30" w:after="30"/>
              <w:rPr>
                <w:rFonts w:cs="Times New Roman"/>
                <w:color w:val="404040"/>
                <w:lang w:eastAsia="en-GB"/>
              </w:rPr>
            </w:pPr>
            <w:r w:rsidRPr="006F116D">
              <w:rPr>
                <w:rFonts w:cs="Times New Roman"/>
                <w:color w:val="404040"/>
                <w:lang w:eastAsia="en-GB"/>
              </w:rPr>
              <w:t>SECAS</w:t>
            </w:r>
          </w:p>
        </w:tc>
      </w:tr>
      <w:tr w:rsidR="00240295" w:rsidRPr="00EA5CE8" w14:paraId="1E1B0281" w14:textId="77777777" w:rsidTr="0019094C">
        <w:trPr>
          <w:trHeight w:val="285"/>
          <w:jc w:val="center"/>
        </w:trPr>
        <w:tc>
          <w:tcPr>
            <w:tcW w:w="2500" w:type="pct"/>
            <w:tcBorders>
              <w:top w:val="single" w:sz="4" w:space="0" w:color="auto"/>
              <w:left w:val="single" w:sz="4" w:space="0" w:color="auto"/>
              <w:bottom w:val="single" w:sz="4" w:space="0" w:color="auto"/>
              <w:right w:val="single" w:sz="4" w:space="0" w:color="auto"/>
            </w:tcBorders>
          </w:tcPr>
          <w:p w14:paraId="1E34A78A" w14:textId="77777777" w:rsidR="00240295" w:rsidRPr="006F116D" w:rsidRDefault="00240295" w:rsidP="0019094C">
            <w:pPr>
              <w:spacing w:before="30" w:after="30"/>
              <w:rPr>
                <w:rFonts w:cs="Arial"/>
                <w:color w:val="404040"/>
                <w:szCs w:val="20"/>
                <w:lang w:eastAsia="en-GB"/>
              </w:rPr>
            </w:pPr>
            <w:r>
              <w:rPr>
                <w:rFonts w:cs="Arial"/>
                <w:color w:val="404040"/>
                <w:szCs w:val="20"/>
                <w:lang w:eastAsia="en-GB"/>
              </w:rPr>
              <w:t>Robin Healey</w:t>
            </w:r>
          </w:p>
        </w:tc>
        <w:tc>
          <w:tcPr>
            <w:tcW w:w="2500" w:type="pct"/>
            <w:tcBorders>
              <w:top w:val="single" w:sz="4" w:space="0" w:color="auto"/>
              <w:left w:val="single" w:sz="4" w:space="0" w:color="auto"/>
              <w:bottom w:val="single" w:sz="4" w:space="0" w:color="auto"/>
              <w:right w:val="single" w:sz="4" w:space="0" w:color="auto"/>
            </w:tcBorders>
          </w:tcPr>
          <w:p w14:paraId="650C2602" w14:textId="77777777" w:rsidR="00240295" w:rsidRPr="006F116D" w:rsidRDefault="00240295" w:rsidP="0019094C">
            <w:pPr>
              <w:spacing w:before="30" w:after="30"/>
              <w:rPr>
                <w:rFonts w:cs="Times New Roman"/>
                <w:color w:val="404040"/>
                <w:lang w:eastAsia="en-GB"/>
              </w:rPr>
            </w:pPr>
            <w:r>
              <w:rPr>
                <w:rFonts w:cs="Times New Roman"/>
                <w:color w:val="404040"/>
                <w:lang w:eastAsia="en-GB"/>
              </w:rPr>
              <w:t>SECAS</w:t>
            </w:r>
          </w:p>
        </w:tc>
      </w:tr>
      <w:tr w:rsidR="00240295" w:rsidRPr="00EA5CE8" w14:paraId="40BA9026" w14:textId="77777777" w:rsidTr="0019094C">
        <w:trPr>
          <w:trHeight w:val="285"/>
          <w:jc w:val="center"/>
        </w:trPr>
        <w:tc>
          <w:tcPr>
            <w:tcW w:w="2500" w:type="pct"/>
            <w:tcBorders>
              <w:top w:val="single" w:sz="4" w:space="0" w:color="auto"/>
              <w:left w:val="single" w:sz="4" w:space="0" w:color="auto"/>
              <w:bottom w:val="single" w:sz="4" w:space="0" w:color="auto"/>
              <w:right w:val="single" w:sz="4" w:space="0" w:color="auto"/>
            </w:tcBorders>
          </w:tcPr>
          <w:p w14:paraId="0D3BD84C" w14:textId="77777777" w:rsidR="00240295" w:rsidRPr="006F116D" w:rsidRDefault="00240295" w:rsidP="0019094C">
            <w:pPr>
              <w:spacing w:before="30" w:after="30"/>
              <w:rPr>
                <w:rFonts w:cs="Arial"/>
                <w:color w:val="404040"/>
                <w:szCs w:val="20"/>
                <w:lang w:eastAsia="en-GB"/>
              </w:rPr>
            </w:pPr>
            <w:r w:rsidRPr="006F116D">
              <w:rPr>
                <w:rFonts w:cs="Arial"/>
                <w:color w:val="404040"/>
                <w:szCs w:val="20"/>
                <w:lang w:eastAsia="en-GB"/>
              </w:rPr>
              <w:t>Sasha Townsend</w:t>
            </w:r>
          </w:p>
        </w:tc>
        <w:tc>
          <w:tcPr>
            <w:tcW w:w="2500" w:type="pct"/>
            <w:tcBorders>
              <w:top w:val="single" w:sz="4" w:space="0" w:color="auto"/>
              <w:left w:val="single" w:sz="4" w:space="0" w:color="auto"/>
              <w:bottom w:val="single" w:sz="4" w:space="0" w:color="auto"/>
              <w:right w:val="single" w:sz="4" w:space="0" w:color="auto"/>
            </w:tcBorders>
          </w:tcPr>
          <w:p w14:paraId="4BE58F62" w14:textId="77777777" w:rsidR="00240295" w:rsidRPr="006F116D" w:rsidRDefault="00240295" w:rsidP="0019094C">
            <w:pPr>
              <w:spacing w:before="30" w:after="30"/>
              <w:rPr>
                <w:rFonts w:cs="Times New Roman"/>
                <w:color w:val="404040"/>
                <w:lang w:eastAsia="en-GB"/>
              </w:rPr>
            </w:pPr>
            <w:r w:rsidRPr="006F116D">
              <w:rPr>
                <w:rFonts w:cs="Times New Roman"/>
                <w:color w:val="404040"/>
                <w:lang w:eastAsia="en-GB"/>
              </w:rPr>
              <w:t>DCC</w:t>
            </w:r>
          </w:p>
        </w:tc>
      </w:tr>
      <w:tr w:rsidR="00240295" w:rsidRPr="00EA5CE8" w14:paraId="0B935723" w14:textId="77777777" w:rsidTr="0019094C">
        <w:trPr>
          <w:trHeight w:val="285"/>
          <w:jc w:val="center"/>
        </w:trPr>
        <w:tc>
          <w:tcPr>
            <w:tcW w:w="2500" w:type="pct"/>
            <w:tcBorders>
              <w:top w:val="single" w:sz="4" w:space="0" w:color="auto"/>
              <w:left w:val="single" w:sz="4" w:space="0" w:color="auto"/>
              <w:bottom w:val="single" w:sz="4" w:space="0" w:color="auto"/>
              <w:right w:val="single" w:sz="4" w:space="0" w:color="auto"/>
            </w:tcBorders>
          </w:tcPr>
          <w:p w14:paraId="5038CAB6" w14:textId="77777777" w:rsidR="00240295" w:rsidRPr="006F116D" w:rsidRDefault="00240295" w:rsidP="0019094C">
            <w:pPr>
              <w:spacing w:before="30" w:after="30"/>
              <w:rPr>
                <w:rFonts w:cs="Arial"/>
                <w:color w:val="404040"/>
                <w:szCs w:val="20"/>
                <w:lang w:eastAsia="en-GB"/>
              </w:rPr>
            </w:pPr>
            <w:r w:rsidRPr="006F116D">
              <w:rPr>
                <w:rFonts w:cs="Arial"/>
                <w:color w:val="404040"/>
                <w:szCs w:val="20"/>
                <w:lang w:eastAsia="en-GB"/>
              </w:rPr>
              <w:t>Remi Oluwabamise</w:t>
            </w:r>
          </w:p>
        </w:tc>
        <w:tc>
          <w:tcPr>
            <w:tcW w:w="2500" w:type="pct"/>
            <w:tcBorders>
              <w:top w:val="single" w:sz="4" w:space="0" w:color="auto"/>
              <w:left w:val="single" w:sz="4" w:space="0" w:color="auto"/>
              <w:bottom w:val="single" w:sz="4" w:space="0" w:color="auto"/>
              <w:right w:val="single" w:sz="4" w:space="0" w:color="auto"/>
            </w:tcBorders>
          </w:tcPr>
          <w:p w14:paraId="2DC577D8" w14:textId="77777777" w:rsidR="00240295" w:rsidRPr="006F116D" w:rsidRDefault="00240295" w:rsidP="0019094C">
            <w:pPr>
              <w:spacing w:before="30" w:after="30"/>
              <w:rPr>
                <w:rFonts w:cs="Times New Roman"/>
                <w:color w:val="404040"/>
                <w:lang w:eastAsia="en-GB"/>
              </w:rPr>
            </w:pPr>
            <w:r w:rsidRPr="006F116D">
              <w:rPr>
                <w:rFonts w:cs="Times New Roman"/>
                <w:color w:val="404040"/>
                <w:lang w:eastAsia="en-GB"/>
              </w:rPr>
              <w:t>DCC</w:t>
            </w:r>
          </w:p>
        </w:tc>
      </w:tr>
      <w:tr w:rsidR="00240295" w:rsidRPr="00EA5CE8" w14:paraId="282B67E8" w14:textId="77777777" w:rsidTr="0019094C">
        <w:trPr>
          <w:trHeight w:val="285"/>
          <w:jc w:val="center"/>
        </w:trPr>
        <w:tc>
          <w:tcPr>
            <w:tcW w:w="2500" w:type="pct"/>
            <w:tcBorders>
              <w:top w:val="single" w:sz="4" w:space="0" w:color="auto"/>
              <w:left w:val="single" w:sz="4" w:space="0" w:color="auto"/>
              <w:bottom w:val="single" w:sz="4" w:space="0" w:color="auto"/>
              <w:right w:val="single" w:sz="4" w:space="0" w:color="auto"/>
            </w:tcBorders>
          </w:tcPr>
          <w:p w14:paraId="2E82A000" w14:textId="77777777" w:rsidR="00240295" w:rsidRPr="006F116D" w:rsidRDefault="00240295" w:rsidP="0019094C">
            <w:pPr>
              <w:spacing w:before="30" w:after="30"/>
              <w:rPr>
                <w:rFonts w:cs="Arial"/>
                <w:color w:val="404040"/>
                <w:szCs w:val="20"/>
                <w:lang w:eastAsia="en-GB"/>
              </w:rPr>
            </w:pPr>
            <w:r w:rsidRPr="006F116D">
              <w:rPr>
                <w:rFonts w:cs="Arial"/>
                <w:color w:val="404040"/>
                <w:szCs w:val="20"/>
                <w:lang w:eastAsia="en-GB"/>
              </w:rPr>
              <w:t>Easton Brown</w:t>
            </w:r>
          </w:p>
        </w:tc>
        <w:tc>
          <w:tcPr>
            <w:tcW w:w="2500" w:type="pct"/>
            <w:tcBorders>
              <w:top w:val="single" w:sz="4" w:space="0" w:color="auto"/>
              <w:left w:val="single" w:sz="4" w:space="0" w:color="auto"/>
              <w:bottom w:val="single" w:sz="4" w:space="0" w:color="auto"/>
              <w:right w:val="single" w:sz="4" w:space="0" w:color="auto"/>
            </w:tcBorders>
          </w:tcPr>
          <w:p w14:paraId="6440E203" w14:textId="77777777" w:rsidR="00240295" w:rsidRPr="006F116D" w:rsidRDefault="00240295" w:rsidP="0019094C">
            <w:pPr>
              <w:spacing w:before="30" w:after="30"/>
              <w:rPr>
                <w:rFonts w:cs="Times New Roman"/>
                <w:color w:val="404040"/>
                <w:lang w:eastAsia="en-GB"/>
              </w:rPr>
            </w:pPr>
            <w:r w:rsidRPr="006F116D">
              <w:rPr>
                <w:rFonts w:cs="Times New Roman"/>
                <w:color w:val="404040"/>
                <w:lang w:eastAsia="en-GB"/>
              </w:rPr>
              <w:t>DCC</w:t>
            </w:r>
          </w:p>
        </w:tc>
      </w:tr>
      <w:tr w:rsidR="00240295" w:rsidRPr="00EA5CE8" w14:paraId="307A40E3" w14:textId="77777777" w:rsidTr="0019094C">
        <w:trPr>
          <w:trHeight w:val="285"/>
          <w:jc w:val="center"/>
        </w:trPr>
        <w:tc>
          <w:tcPr>
            <w:tcW w:w="2500" w:type="pct"/>
            <w:tcBorders>
              <w:top w:val="single" w:sz="4" w:space="0" w:color="auto"/>
              <w:left w:val="single" w:sz="4" w:space="0" w:color="auto"/>
              <w:bottom w:val="single" w:sz="4" w:space="0" w:color="auto"/>
              <w:right w:val="single" w:sz="4" w:space="0" w:color="auto"/>
            </w:tcBorders>
          </w:tcPr>
          <w:p w14:paraId="243DE874" w14:textId="77777777" w:rsidR="00240295" w:rsidRPr="006F116D" w:rsidRDefault="00240295" w:rsidP="0019094C">
            <w:pPr>
              <w:spacing w:before="30" w:after="30"/>
              <w:rPr>
                <w:rFonts w:cs="Arial"/>
                <w:color w:val="404040"/>
                <w:szCs w:val="20"/>
                <w:lang w:eastAsia="en-GB"/>
              </w:rPr>
            </w:pPr>
            <w:r w:rsidRPr="006F116D">
              <w:rPr>
                <w:rFonts w:cs="Arial"/>
                <w:color w:val="404040"/>
                <w:szCs w:val="20"/>
                <w:lang w:eastAsia="en-GB"/>
              </w:rPr>
              <w:t>David Walsh</w:t>
            </w:r>
          </w:p>
        </w:tc>
        <w:tc>
          <w:tcPr>
            <w:tcW w:w="2500" w:type="pct"/>
            <w:tcBorders>
              <w:top w:val="single" w:sz="4" w:space="0" w:color="auto"/>
              <w:left w:val="single" w:sz="4" w:space="0" w:color="auto"/>
              <w:bottom w:val="single" w:sz="4" w:space="0" w:color="auto"/>
              <w:right w:val="single" w:sz="4" w:space="0" w:color="auto"/>
            </w:tcBorders>
          </w:tcPr>
          <w:p w14:paraId="760B7451" w14:textId="77777777" w:rsidR="00240295" w:rsidRPr="006F116D" w:rsidRDefault="00240295" w:rsidP="0019094C">
            <w:pPr>
              <w:spacing w:before="30" w:after="30"/>
              <w:rPr>
                <w:rFonts w:cs="Times New Roman"/>
                <w:color w:val="404040"/>
                <w:lang w:eastAsia="en-GB"/>
              </w:rPr>
            </w:pPr>
            <w:r w:rsidRPr="006F116D">
              <w:rPr>
                <w:rFonts w:cs="Times New Roman"/>
                <w:color w:val="404040"/>
                <w:lang w:eastAsia="en-GB"/>
              </w:rPr>
              <w:t>DCC</w:t>
            </w:r>
          </w:p>
        </w:tc>
      </w:tr>
      <w:tr w:rsidR="00240295" w:rsidRPr="00EA5CE8" w14:paraId="2BABA163" w14:textId="77777777" w:rsidTr="0019094C">
        <w:trPr>
          <w:trHeight w:val="285"/>
          <w:jc w:val="center"/>
        </w:trPr>
        <w:tc>
          <w:tcPr>
            <w:tcW w:w="2500" w:type="pct"/>
            <w:tcBorders>
              <w:top w:val="single" w:sz="4" w:space="0" w:color="auto"/>
              <w:left w:val="single" w:sz="4" w:space="0" w:color="auto"/>
              <w:bottom w:val="single" w:sz="4" w:space="0" w:color="auto"/>
              <w:right w:val="single" w:sz="4" w:space="0" w:color="auto"/>
            </w:tcBorders>
          </w:tcPr>
          <w:p w14:paraId="5D1808DF" w14:textId="77777777" w:rsidR="00240295" w:rsidRPr="006F116D" w:rsidRDefault="00240295" w:rsidP="0019094C">
            <w:pPr>
              <w:spacing w:before="30" w:after="30"/>
              <w:rPr>
                <w:rFonts w:cs="Arial"/>
                <w:color w:val="404040"/>
                <w:szCs w:val="20"/>
                <w:lang w:eastAsia="en-GB"/>
              </w:rPr>
            </w:pPr>
            <w:r w:rsidRPr="006F116D">
              <w:rPr>
                <w:rFonts w:cs="Arial"/>
                <w:color w:val="404040"/>
                <w:szCs w:val="20"/>
                <w:lang w:eastAsia="en-GB"/>
              </w:rPr>
              <w:t>Gary Bailey</w:t>
            </w:r>
          </w:p>
        </w:tc>
        <w:tc>
          <w:tcPr>
            <w:tcW w:w="2500" w:type="pct"/>
            <w:tcBorders>
              <w:top w:val="single" w:sz="4" w:space="0" w:color="auto"/>
              <w:left w:val="single" w:sz="4" w:space="0" w:color="auto"/>
              <w:bottom w:val="single" w:sz="4" w:space="0" w:color="auto"/>
              <w:right w:val="single" w:sz="4" w:space="0" w:color="auto"/>
            </w:tcBorders>
          </w:tcPr>
          <w:p w14:paraId="7E194CFE" w14:textId="77777777" w:rsidR="00240295" w:rsidRPr="006F116D" w:rsidRDefault="00240295" w:rsidP="0019094C">
            <w:pPr>
              <w:spacing w:before="30" w:after="30"/>
              <w:rPr>
                <w:rFonts w:cs="Times New Roman"/>
                <w:color w:val="404040"/>
                <w:lang w:eastAsia="en-GB"/>
              </w:rPr>
            </w:pPr>
            <w:r w:rsidRPr="006F116D">
              <w:rPr>
                <w:rFonts w:cs="Times New Roman"/>
                <w:color w:val="404040"/>
                <w:lang w:eastAsia="en-GB"/>
              </w:rPr>
              <w:t>DCC</w:t>
            </w:r>
          </w:p>
        </w:tc>
      </w:tr>
      <w:tr w:rsidR="00240295" w:rsidRPr="00EA5CE8" w14:paraId="35FCF604" w14:textId="77777777" w:rsidTr="0019094C">
        <w:trPr>
          <w:trHeight w:val="285"/>
          <w:jc w:val="center"/>
        </w:trPr>
        <w:tc>
          <w:tcPr>
            <w:tcW w:w="2500" w:type="pct"/>
            <w:tcBorders>
              <w:top w:val="single" w:sz="4" w:space="0" w:color="auto"/>
              <w:left w:val="single" w:sz="4" w:space="0" w:color="auto"/>
              <w:bottom w:val="single" w:sz="4" w:space="0" w:color="auto"/>
              <w:right w:val="single" w:sz="4" w:space="0" w:color="auto"/>
            </w:tcBorders>
          </w:tcPr>
          <w:p w14:paraId="725B2934" w14:textId="77777777" w:rsidR="00240295" w:rsidRPr="006F116D" w:rsidRDefault="00240295" w:rsidP="0019094C">
            <w:pPr>
              <w:spacing w:before="30" w:after="30"/>
              <w:rPr>
                <w:rFonts w:cs="Arial"/>
                <w:color w:val="404040"/>
                <w:szCs w:val="20"/>
                <w:lang w:eastAsia="en-GB"/>
              </w:rPr>
            </w:pPr>
            <w:r w:rsidRPr="006F116D">
              <w:rPr>
                <w:rFonts w:cs="Arial"/>
                <w:color w:val="404040"/>
                <w:szCs w:val="20"/>
                <w:lang w:eastAsia="en-GB"/>
              </w:rPr>
              <w:t>Graeme Liggett</w:t>
            </w:r>
          </w:p>
        </w:tc>
        <w:tc>
          <w:tcPr>
            <w:tcW w:w="2500" w:type="pct"/>
            <w:tcBorders>
              <w:top w:val="single" w:sz="4" w:space="0" w:color="auto"/>
              <w:left w:val="single" w:sz="4" w:space="0" w:color="auto"/>
              <w:bottom w:val="single" w:sz="4" w:space="0" w:color="auto"/>
              <w:right w:val="single" w:sz="4" w:space="0" w:color="auto"/>
            </w:tcBorders>
          </w:tcPr>
          <w:p w14:paraId="2E48B2B8" w14:textId="77777777" w:rsidR="00240295" w:rsidRPr="006F116D" w:rsidRDefault="00240295" w:rsidP="0019094C">
            <w:pPr>
              <w:spacing w:before="30" w:after="30"/>
              <w:rPr>
                <w:rFonts w:cs="Times New Roman"/>
                <w:color w:val="404040"/>
                <w:lang w:eastAsia="en-GB"/>
              </w:rPr>
            </w:pPr>
            <w:r w:rsidRPr="006F116D">
              <w:rPr>
                <w:rFonts w:cs="Times New Roman"/>
                <w:color w:val="404040"/>
                <w:lang w:eastAsia="en-GB"/>
              </w:rPr>
              <w:t>DCC</w:t>
            </w:r>
          </w:p>
        </w:tc>
      </w:tr>
      <w:tr w:rsidR="00240295" w:rsidRPr="00EA5CE8" w14:paraId="661BCC9C" w14:textId="77777777" w:rsidTr="0019094C">
        <w:trPr>
          <w:trHeight w:val="285"/>
          <w:jc w:val="center"/>
        </w:trPr>
        <w:tc>
          <w:tcPr>
            <w:tcW w:w="2500" w:type="pct"/>
            <w:tcBorders>
              <w:top w:val="single" w:sz="4" w:space="0" w:color="auto"/>
              <w:left w:val="single" w:sz="4" w:space="0" w:color="auto"/>
              <w:bottom w:val="single" w:sz="4" w:space="0" w:color="auto"/>
              <w:right w:val="single" w:sz="4" w:space="0" w:color="auto"/>
            </w:tcBorders>
          </w:tcPr>
          <w:p w14:paraId="4476C1A2" w14:textId="77777777" w:rsidR="00240295" w:rsidRPr="006F116D" w:rsidRDefault="00240295" w:rsidP="0019094C">
            <w:pPr>
              <w:spacing w:before="30" w:after="30"/>
              <w:rPr>
                <w:rFonts w:cs="Arial"/>
                <w:color w:val="404040"/>
                <w:szCs w:val="20"/>
                <w:lang w:eastAsia="en-GB"/>
              </w:rPr>
            </w:pPr>
            <w:r>
              <w:rPr>
                <w:rFonts w:cs="Arial"/>
                <w:color w:val="404040"/>
                <w:szCs w:val="20"/>
                <w:lang w:eastAsia="en-GB"/>
              </w:rPr>
              <w:t xml:space="preserve">Richard </w:t>
            </w:r>
            <w:proofErr w:type="spellStart"/>
            <w:r>
              <w:rPr>
                <w:rFonts w:cs="Arial"/>
                <w:color w:val="404040"/>
                <w:szCs w:val="20"/>
                <w:lang w:eastAsia="en-GB"/>
              </w:rPr>
              <w:t>Amey</w:t>
            </w:r>
            <w:proofErr w:type="spellEnd"/>
          </w:p>
        </w:tc>
        <w:tc>
          <w:tcPr>
            <w:tcW w:w="2500" w:type="pct"/>
            <w:tcBorders>
              <w:top w:val="single" w:sz="4" w:space="0" w:color="auto"/>
              <w:left w:val="single" w:sz="4" w:space="0" w:color="auto"/>
              <w:bottom w:val="single" w:sz="4" w:space="0" w:color="auto"/>
              <w:right w:val="single" w:sz="4" w:space="0" w:color="auto"/>
            </w:tcBorders>
          </w:tcPr>
          <w:p w14:paraId="1AEF36F3" w14:textId="77777777" w:rsidR="00240295" w:rsidRPr="006F116D" w:rsidRDefault="00240295" w:rsidP="0019094C">
            <w:pPr>
              <w:spacing w:before="30" w:after="30"/>
              <w:rPr>
                <w:rFonts w:cs="Times New Roman"/>
                <w:color w:val="404040"/>
                <w:lang w:eastAsia="en-GB"/>
              </w:rPr>
            </w:pPr>
            <w:r>
              <w:rPr>
                <w:rFonts w:cs="Times New Roman"/>
                <w:color w:val="404040"/>
                <w:lang w:eastAsia="en-GB"/>
              </w:rPr>
              <w:t>DCC</w:t>
            </w:r>
          </w:p>
        </w:tc>
      </w:tr>
      <w:tr w:rsidR="00240295" w:rsidRPr="00EA5CE8" w14:paraId="318C2BFE" w14:textId="77777777" w:rsidTr="0019094C">
        <w:trPr>
          <w:trHeight w:val="285"/>
          <w:jc w:val="center"/>
        </w:trPr>
        <w:tc>
          <w:tcPr>
            <w:tcW w:w="2500" w:type="pct"/>
            <w:tcBorders>
              <w:top w:val="single" w:sz="4" w:space="0" w:color="auto"/>
              <w:left w:val="single" w:sz="4" w:space="0" w:color="auto"/>
              <w:bottom w:val="single" w:sz="4" w:space="0" w:color="auto"/>
              <w:right w:val="single" w:sz="4" w:space="0" w:color="auto"/>
            </w:tcBorders>
          </w:tcPr>
          <w:p w14:paraId="53856FB0" w14:textId="77777777" w:rsidR="00240295" w:rsidRDefault="00240295" w:rsidP="0019094C">
            <w:pPr>
              <w:spacing w:before="30" w:after="30"/>
              <w:rPr>
                <w:rFonts w:cs="Arial"/>
                <w:color w:val="404040"/>
                <w:szCs w:val="20"/>
                <w:lang w:eastAsia="en-GB"/>
              </w:rPr>
            </w:pPr>
            <w:r>
              <w:rPr>
                <w:rFonts w:cs="Arial"/>
                <w:color w:val="404040"/>
                <w:szCs w:val="20"/>
                <w:lang w:eastAsia="en-GB"/>
              </w:rPr>
              <w:t>Gav Parott</w:t>
            </w:r>
          </w:p>
        </w:tc>
        <w:tc>
          <w:tcPr>
            <w:tcW w:w="2500" w:type="pct"/>
            <w:tcBorders>
              <w:top w:val="single" w:sz="4" w:space="0" w:color="auto"/>
              <w:left w:val="single" w:sz="4" w:space="0" w:color="auto"/>
              <w:bottom w:val="single" w:sz="4" w:space="0" w:color="auto"/>
              <w:right w:val="single" w:sz="4" w:space="0" w:color="auto"/>
            </w:tcBorders>
          </w:tcPr>
          <w:p w14:paraId="411A85CF" w14:textId="77777777" w:rsidR="00240295" w:rsidRDefault="00240295" w:rsidP="0019094C">
            <w:pPr>
              <w:spacing w:before="30" w:after="30"/>
              <w:rPr>
                <w:rFonts w:cs="Times New Roman"/>
                <w:color w:val="404040"/>
                <w:lang w:eastAsia="en-GB"/>
              </w:rPr>
            </w:pPr>
            <w:r>
              <w:rPr>
                <w:rFonts w:cs="Times New Roman"/>
                <w:color w:val="404040"/>
                <w:lang w:eastAsia="en-GB"/>
              </w:rPr>
              <w:t>DCC</w:t>
            </w:r>
          </w:p>
        </w:tc>
      </w:tr>
      <w:tr w:rsidR="00240295" w:rsidRPr="00EA5CE8" w14:paraId="319710D9" w14:textId="77777777" w:rsidTr="0019094C">
        <w:trPr>
          <w:trHeight w:val="285"/>
          <w:jc w:val="center"/>
        </w:trPr>
        <w:tc>
          <w:tcPr>
            <w:tcW w:w="2500" w:type="pct"/>
            <w:tcBorders>
              <w:top w:val="single" w:sz="4" w:space="0" w:color="auto"/>
              <w:left w:val="single" w:sz="4" w:space="0" w:color="auto"/>
              <w:bottom w:val="single" w:sz="4" w:space="0" w:color="auto"/>
              <w:right w:val="single" w:sz="4" w:space="0" w:color="auto"/>
            </w:tcBorders>
          </w:tcPr>
          <w:p w14:paraId="69808849" w14:textId="77777777" w:rsidR="00240295" w:rsidRDefault="00240295" w:rsidP="0019094C">
            <w:pPr>
              <w:spacing w:before="30" w:after="30"/>
              <w:rPr>
                <w:rFonts w:cs="Arial"/>
                <w:color w:val="404040"/>
                <w:szCs w:val="20"/>
                <w:lang w:eastAsia="en-GB"/>
              </w:rPr>
            </w:pPr>
            <w:r>
              <w:rPr>
                <w:rFonts w:cs="Arial"/>
                <w:color w:val="404040"/>
                <w:szCs w:val="20"/>
                <w:lang w:eastAsia="en-GB"/>
              </w:rPr>
              <w:t>Robin Seaby</w:t>
            </w:r>
          </w:p>
        </w:tc>
        <w:tc>
          <w:tcPr>
            <w:tcW w:w="2500" w:type="pct"/>
            <w:tcBorders>
              <w:top w:val="single" w:sz="4" w:space="0" w:color="auto"/>
              <w:left w:val="single" w:sz="4" w:space="0" w:color="auto"/>
              <w:bottom w:val="single" w:sz="4" w:space="0" w:color="auto"/>
              <w:right w:val="single" w:sz="4" w:space="0" w:color="auto"/>
            </w:tcBorders>
          </w:tcPr>
          <w:p w14:paraId="02F950A2" w14:textId="77777777" w:rsidR="00240295" w:rsidRDefault="00240295" w:rsidP="0019094C">
            <w:pPr>
              <w:spacing w:before="30" w:after="30"/>
              <w:rPr>
                <w:rFonts w:cs="Times New Roman"/>
                <w:color w:val="404040"/>
                <w:lang w:eastAsia="en-GB"/>
              </w:rPr>
            </w:pPr>
            <w:r>
              <w:rPr>
                <w:rFonts w:cs="Times New Roman"/>
                <w:color w:val="404040"/>
                <w:lang w:eastAsia="en-GB"/>
              </w:rPr>
              <w:t>DCC</w:t>
            </w:r>
          </w:p>
        </w:tc>
      </w:tr>
      <w:tr w:rsidR="00240295" w:rsidRPr="00EA5CE8" w14:paraId="63CFC92D" w14:textId="77777777" w:rsidTr="0019094C">
        <w:trPr>
          <w:trHeight w:val="285"/>
          <w:jc w:val="center"/>
        </w:trPr>
        <w:tc>
          <w:tcPr>
            <w:tcW w:w="2500" w:type="pct"/>
            <w:tcBorders>
              <w:top w:val="single" w:sz="4" w:space="0" w:color="auto"/>
              <w:left w:val="single" w:sz="4" w:space="0" w:color="auto"/>
              <w:bottom w:val="single" w:sz="4" w:space="0" w:color="auto"/>
              <w:right w:val="single" w:sz="4" w:space="0" w:color="auto"/>
            </w:tcBorders>
          </w:tcPr>
          <w:p w14:paraId="0B6E1EF1" w14:textId="77777777" w:rsidR="00240295" w:rsidRPr="006F116D" w:rsidRDefault="00240295" w:rsidP="0019094C">
            <w:pPr>
              <w:spacing w:before="30" w:after="30"/>
              <w:rPr>
                <w:rFonts w:cs="Arial"/>
                <w:color w:val="404040"/>
                <w:szCs w:val="20"/>
                <w:lang w:eastAsia="en-GB"/>
              </w:rPr>
            </w:pPr>
            <w:r w:rsidRPr="006F116D">
              <w:rPr>
                <w:rFonts w:cs="Arial"/>
                <w:color w:val="404040"/>
                <w:szCs w:val="20"/>
                <w:lang w:eastAsia="en-GB"/>
              </w:rPr>
              <w:t>Sarah-Jane Russell</w:t>
            </w:r>
          </w:p>
        </w:tc>
        <w:tc>
          <w:tcPr>
            <w:tcW w:w="2500" w:type="pct"/>
            <w:tcBorders>
              <w:top w:val="single" w:sz="4" w:space="0" w:color="auto"/>
              <w:left w:val="single" w:sz="4" w:space="0" w:color="auto"/>
              <w:bottom w:val="single" w:sz="4" w:space="0" w:color="auto"/>
              <w:right w:val="single" w:sz="4" w:space="0" w:color="auto"/>
            </w:tcBorders>
          </w:tcPr>
          <w:p w14:paraId="1AA5C052" w14:textId="77777777" w:rsidR="00240295" w:rsidRPr="006F116D" w:rsidRDefault="00240295" w:rsidP="0019094C">
            <w:pPr>
              <w:spacing w:before="30" w:after="30"/>
              <w:rPr>
                <w:rFonts w:cs="Times New Roman"/>
                <w:color w:val="404040"/>
                <w:lang w:eastAsia="en-GB"/>
              </w:rPr>
            </w:pPr>
            <w:r w:rsidRPr="006F116D">
              <w:rPr>
                <w:rFonts w:cs="Times New Roman"/>
                <w:color w:val="404040"/>
                <w:lang w:eastAsia="en-GB"/>
              </w:rPr>
              <w:t>British Gas</w:t>
            </w:r>
          </w:p>
        </w:tc>
      </w:tr>
      <w:tr w:rsidR="00240295" w:rsidRPr="00EA5CE8" w14:paraId="508ADE2B" w14:textId="77777777" w:rsidTr="0019094C">
        <w:trPr>
          <w:trHeight w:val="285"/>
          <w:jc w:val="center"/>
        </w:trPr>
        <w:tc>
          <w:tcPr>
            <w:tcW w:w="2500" w:type="pct"/>
            <w:tcBorders>
              <w:top w:val="single" w:sz="4" w:space="0" w:color="auto"/>
              <w:left w:val="single" w:sz="4" w:space="0" w:color="auto"/>
              <w:bottom w:val="single" w:sz="4" w:space="0" w:color="auto"/>
              <w:right w:val="single" w:sz="4" w:space="0" w:color="auto"/>
            </w:tcBorders>
          </w:tcPr>
          <w:p w14:paraId="3565B6D0" w14:textId="77777777" w:rsidR="00240295" w:rsidRPr="006F116D" w:rsidRDefault="00240295" w:rsidP="0019094C">
            <w:pPr>
              <w:spacing w:before="30" w:after="30"/>
              <w:rPr>
                <w:rFonts w:cs="Arial"/>
                <w:color w:val="404040"/>
                <w:szCs w:val="20"/>
                <w:lang w:eastAsia="en-GB"/>
              </w:rPr>
            </w:pPr>
            <w:r w:rsidRPr="006F116D">
              <w:rPr>
                <w:rFonts w:cs="Arial"/>
                <w:color w:val="404040"/>
                <w:szCs w:val="20"/>
                <w:lang w:eastAsia="en-GB"/>
              </w:rPr>
              <w:t>Lynne Hargrave</w:t>
            </w:r>
          </w:p>
        </w:tc>
        <w:tc>
          <w:tcPr>
            <w:tcW w:w="2500" w:type="pct"/>
            <w:tcBorders>
              <w:top w:val="single" w:sz="4" w:space="0" w:color="auto"/>
              <w:left w:val="single" w:sz="4" w:space="0" w:color="auto"/>
              <w:bottom w:val="single" w:sz="4" w:space="0" w:color="auto"/>
              <w:right w:val="single" w:sz="4" w:space="0" w:color="auto"/>
            </w:tcBorders>
          </w:tcPr>
          <w:p w14:paraId="1A231FE2" w14:textId="77777777" w:rsidR="00240295" w:rsidRPr="006F116D" w:rsidRDefault="00240295" w:rsidP="0019094C">
            <w:pPr>
              <w:spacing w:before="30" w:after="30"/>
              <w:rPr>
                <w:rFonts w:cs="Times New Roman"/>
                <w:color w:val="404040"/>
                <w:lang w:eastAsia="en-GB"/>
              </w:rPr>
            </w:pPr>
            <w:r w:rsidRPr="006F116D">
              <w:rPr>
                <w:rFonts w:cs="Times New Roman"/>
                <w:color w:val="404040"/>
                <w:lang w:eastAsia="en-GB"/>
              </w:rPr>
              <w:t>Calvin Capital</w:t>
            </w:r>
          </w:p>
        </w:tc>
      </w:tr>
      <w:tr w:rsidR="00240295" w:rsidRPr="00EA5CE8" w14:paraId="2B1B1C85" w14:textId="77777777" w:rsidTr="0019094C">
        <w:trPr>
          <w:trHeight w:val="285"/>
          <w:jc w:val="center"/>
        </w:trPr>
        <w:tc>
          <w:tcPr>
            <w:tcW w:w="2500" w:type="pct"/>
            <w:tcBorders>
              <w:top w:val="single" w:sz="4" w:space="0" w:color="auto"/>
              <w:left w:val="single" w:sz="4" w:space="0" w:color="auto"/>
              <w:bottom w:val="single" w:sz="4" w:space="0" w:color="auto"/>
              <w:right w:val="single" w:sz="4" w:space="0" w:color="auto"/>
            </w:tcBorders>
          </w:tcPr>
          <w:p w14:paraId="7A79F2E1" w14:textId="77777777" w:rsidR="00240295" w:rsidRPr="006F116D" w:rsidRDefault="00240295" w:rsidP="0019094C">
            <w:pPr>
              <w:spacing w:before="30" w:after="30"/>
              <w:rPr>
                <w:rFonts w:cs="Arial"/>
                <w:color w:val="404040"/>
                <w:szCs w:val="20"/>
                <w:lang w:eastAsia="en-GB"/>
              </w:rPr>
            </w:pPr>
            <w:r w:rsidRPr="006F116D">
              <w:rPr>
                <w:rFonts w:cs="Arial"/>
                <w:color w:val="404040"/>
                <w:szCs w:val="20"/>
                <w:lang w:eastAsia="en-GB"/>
              </w:rPr>
              <w:t>Julie Geary</w:t>
            </w:r>
          </w:p>
        </w:tc>
        <w:tc>
          <w:tcPr>
            <w:tcW w:w="2500" w:type="pct"/>
            <w:tcBorders>
              <w:top w:val="single" w:sz="4" w:space="0" w:color="auto"/>
              <w:left w:val="single" w:sz="4" w:space="0" w:color="auto"/>
              <w:bottom w:val="single" w:sz="4" w:space="0" w:color="auto"/>
              <w:right w:val="single" w:sz="4" w:space="0" w:color="auto"/>
            </w:tcBorders>
          </w:tcPr>
          <w:p w14:paraId="3367AB15" w14:textId="77777777" w:rsidR="00240295" w:rsidRPr="006F116D" w:rsidRDefault="00240295" w:rsidP="0019094C">
            <w:pPr>
              <w:spacing w:before="30" w:after="30"/>
              <w:rPr>
                <w:rFonts w:cs="Times New Roman"/>
                <w:color w:val="404040"/>
                <w:lang w:eastAsia="en-GB"/>
              </w:rPr>
            </w:pPr>
            <w:proofErr w:type="gramStart"/>
            <w:r w:rsidRPr="006F116D">
              <w:rPr>
                <w:rFonts w:cs="Times New Roman"/>
                <w:color w:val="404040"/>
                <w:lang w:eastAsia="en-GB"/>
              </w:rPr>
              <w:t>E.ON</w:t>
            </w:r>
            <w:proofErr w:type="gramEnd"/>
          </w:p>
        </w:tc>
      </w:tr>
      <w:tr w:rsidR="00240295" w:rsidRPr="00EA5CE8" w14:paraId="44AA6EAC" w14:textId="77777777" w:rsidTr="0019094C">
        <w:trPr>
          <w:trHeight w:val="285"/>
          <w:jc w:val="center"/>
        </w:trPr>
        <w:tc>
          <w:tcPr>
            <w:tcW w:w="2500" w:type="pct"/>
            <w:tcBorders>
              <w:top w:val="single" w:sz="4" w:space="0" w:color="auto"/>
              <w:left w:val="single" w:sz="4" w:space="0" w:color="auto"/>
              <w:bottom w:val="single" w:sz="4" w:space="0" w:color="auto"/>
              <w:right w:val="single" w:sz="4" w:space="0" w:color="auto"/>
            </w:tcBorders>
          </w:tcPr>
          <w:p w14:paraId="4A21F6A1" w14:textId="77777777" w:rsidR="00240295" w:rsidRPr="006F116D" w:rsidRDefault="00240295" w:rsidP="0019094C">
            <w:pPr>
              <w:spacing w:before="30" w:after="30"/>
              <w:rPr>
                <w:rFonts w:cs="Arial"/>
                <w:color w:val="404040"/>
                <w:szCs w:val="20"/>
                <w:lang w:eastAsia="en-GB"/>
              </w:rPr>
            </w:pPr>
            <w:r w:rsidRPr="006F116D">
              <w:rPr>
                <w:rFonts w:cs="Arial"/>
                <w:color w:val="404040"/>
                <w:szCs w:val="20"/>
                <w:lang w:eastAsia="en-GB"/>
              </w:rPr>
              <w:t>Alex Hurcombe</w:t>
            </w:r>
          </w:p>
        </w:tc>
        <w:tc>
          <w:tcPr>
            <w:tcW w:w="2500" w:type="pct"/>
            <w:tcBorders>
              <w:top w:val="single" w:sz="4" w:space="0" w:color="auto"/>
              <w:left w:val="single" w:sz="4" w:space="0" w:color="auto"/>
              <w:bottom w:val="single" w:sz="4" w:space="0" w:color="auto"/>
              <w:right w:val="single" w:sz="4" w:space="0" w:color="auto"/>
            </w:tcBorders>
          </w:tcPr>
          <w:p w14:paraId="13FF4FF0" w14:textId="77777777" w:rsidR="00240295" w:rsidRPr="006F116D" w:rsidRDefault="00240295" w:rsidP="0019094C">
            <w:pPr>
              <w:spacing w:before="30" w:after="30"/>
              <w:rPr>
                <w:rFonts w:cs="Times New Roman"/>
                <w:color w:val="404040"/>
                <w:lang w:eastAsia="en-GB"/>
              </w:rPr>
            </w:pPr>
            <w:r w:rsidRPr="006F116D">
              <w:rPr>
                <w:rFonts w:cs="Times New Roman"/>
                <w:color w:val="404040"/>
                <w:lang w:eastAsia="en-GB"/>
              </w:rPr>
              <w:t>EDF Energy</w:t>
            </w:r>
          </w:p>
        </w:tc>
      </w:tr>
      <w:tr w:rsidR="00240295" w:rsidRPr="00EA5CE8" w14:paraId="5E76FDF2" w14:textId="77777777" w:rsidTr="0019094C">
        <w:trPr>
          <w:trHeight w:val="285"/>
          <w:jc w:val="center"/>
        </w:trPr>
        <w:tc>
          <w:tcPr>
            <w:tcW w:w="2500" w:type="pct"/>
            <w:tcBorders>
              <w:top w:val="single" w:sz="4" w:space="0" w:color="auto"/>
              <w:left w:val="single" w:sz="4" w:space="0" w:color="auto"/>
              <w:bottom w:val="single" w:sz="4" w:space="0" w:color="auto"/>
              <w:right w:val="single" w:sz="4" w:space="0" w:color="auto"/>
            </w:tcBorders>
          </w:tcPr>
          <w:p w14:paraId="59649712" w14:textId="77777777" w:rsidR="00240295" w:rsidRPr="006F116D" w:rsidRDefault="00240295" w:rsidP="0019094C">
            <w:pPr>
              <w:spacing w:before="30" w:after="30"/>
              <w:rPr>
                <w:rFonts w:cs="Arial"/>
                <w:color w:val="404040"/>
                <w:szCs w:val="20"/>
                <w:lang w:eastAsia="en-GB"/>
              </w:rPr>
            </w:pPr>
            <w:r w:rsidRPr="006F116D">
              <w:rPr>
                <w:rFonts w:cs="Arial"/>
                <w:color w:val="404040"/>
                <w:szCs w:val="20"/>
                <w:lang w:eastAsia="en-GB"/>
              </w:rPr>
              <w:t>Daniel Davis</w:t>
            </w:r>
          </w:p>
        </w:tc>
        <w:tc>
          <w:tcPr>
            <w:tcW w:w="2500" w:type="pct"/>
            <w:tcBorders>
              <w:top w:val="single" w:sz="4" w:space="0" w:color="auto"/>
              <w:left w:val="single" w:sz="4" w:space="0" w:color="auto"/>
              <w:bottom w:val="single" w:sz="4" w:space="0" w:color="auto"/>
              <w:right w:val="single" w:sz="4" w:space="0" w:color="auto"/>
            </w:tcBorders>
          </w:tcPr>
          <w:p w14:paraId="03047E89" w14:textId="77777777" w:rsidR="00240295" w:rsidRPr="006F116D" w:rsidRDefault="00240295" w:rsidP="0019094C">
            <w:pPr>
              <w:spacing w:before="30" w:after="30"/>
              <w:rPr>
                <w:rFonts w:cs="Times New Roman"/>
                <w:color w:val="404040"/>
                <w:lang w:eastAsia="en-GB"/>
              </w:rPr>
            </w:pPr>
            <w:r w:rsidRPr="006F116D">
              <w:rPr>
                <w:rFonts w:cs="Times New Roman"/>
                <w:color w:val="404040"/>
                <w:lang w:eastAsia="en-GB"/>
              </w:rPr>
              <w:t>ESG Global</w:t>
            </w:r>
          </w:p>
        </w:tc>
      </w:tr>
      <w:tr w:rsidR="00240295" w:rsidRPr="00EA5CE8" w14:paraId="14BB2935" w14:textId="77777777" w:rsidTr="0019094C">
        <w:trPr>
          <w:trHeight w:val="285"/>
          <w:jc w:val="center"/>
        </w:trPr>
        <w:tc>
          <w:tcPr>
            <w:tcW w:w="2500" w:type="pct"/>
            <w:tcBorders>
              <w:top w:val="single" w:sz="4" w:space="0" w:color="auto"/>
              <w:left w:val="single" w:sz="4" w:space="0" w:color="auto"/>
              <w:bottom w:val="single" w:sz="4" w:space="0" w:color="auto"/>
              <w:right w:val="single" w:sz="4" w:space="0" w:color="auto"/>
            </w:tcBorders>
          </w:tcPr>
          <w:p w14:paraId="15F92541" w14:textId="77777777" w:rsidR="00240295" w:rsidRPr="006F116D" w:rsidRDefault="00240295" w:rsidP="0019094C">
            <w:pPr>
              <w:spacing w:before="30" w:after="30"/>
              <w:rPr>
                <w:rFonts w:cs="Arial"/>
                <w:color w:val="404040"/>
                <w:szCs w:val="20"/>
                <w:lang w:eastAsia="en-GB"/>
              </w:rPr>
            </w:pPr>
            <w:r>
              <w:rPr>
                <w:rFonts w:cs="Arial"/>
                <w:color w:val="404040"/>
                <w:szCs w:val="20"/>
                <w:lang w:eastAsia="en-GB"/>
              </w:rPr>
              <w:t>Terry Jefferson</w:t>
            </w:r>
          </w:p>
        </w:tc>
        <w:tc>
          <w:tcPr>
            <w:tcW w:w="2500" w:type="pct"/>
            <w:tcBorders>
              <w:top w:val="single" w:sz="4" w:space="0" w:color="auto"/>
              <w:left w:val="single" w:sz="4" w:space="0" w:color="auto"/>
              <w:bottom w:val="single" w:sz="4" w:space="0" w:color="auto"/>
              <w:right w:val="single" w:sz="4" w:space="0" w:color="auto"/>
            </w:tcBorders>
          </w:tcPr>
          <w:p w14:paraId="1216EE28" w14:textId="77777777" w:rsidR="00240295" w:rsidRPr="006F116D" w:rsidRDefault="00240295" w:rsidP="0019094C">
            <w:pPr>
              <w:spacing w:before="30" w:after="30"/>
              <w:rPr>
                <w:rFonts w:cs="Times New Roman"/>
                <w:color w:val="404040"/>
                <w:lang w:eastAsia="en-GB"/>
              </w:rPr>
            </w:pPr>
            <w:r>
              <w:rPr>
                <w:rFonts w:cs="Times New Roman"/>
                <w:color w:val="404040"/>
                <w:lang w:eastAsia="en-GB"/>
              </w:rPr>
              <w:t>EUA</w:t>
            </w:r>
          </w:p>
        </w:tc>
      </w:tr>
      <w:tr w:rsidR="00240295" w:rsidRPr="00EA5CE8" w14:paraId="3B8196F6" w14:textId="77777777" w:rsidTr="0019094C">
        <w:trPr>
          <w:trHeight w:val="285"/>
          <w:jc w:val="center"/>
        </w:trPr>
        <w:tc>
          <w:tcPr>
            <w:tcW w:w="2500" w:type="pct"/>
            <w:tcBorders>
              <w:top w:val="single" w:sz="4" w:space="0" w:color="auto"/>
              <w:left w:val="single" w:sz="4" w:space="0" w:color="auto"/>
              <w:bottom w:val="single" w:sz="4" w:space="0" w:color="auto"/>
              <w:right w:val="single" w:sz="4" w:space="0" w:color="auto"/>
            </w:tcBorders>
          </w:tcPr>
          <w:p w14:paraId="6B28A454" w14:textId="77777777" w:rsidR="00240295" w:rsidRDefault="00240295" w:rsidP="0019094C">
            <w:pPr>
              <w:spacing w:before="30" w:after="30"/>
              <w:rPr>
                <w:rFonts w:cs="Arial"/>
                <w:color w:val="404040"/>
                <w:szCs w:val="20"/>
                <w:lang w:eastAsia="en-GB"/>
              </w:rPr>
            </w:pPr>
            <w:r>
              <w:rPr>
                <w:rFonts w:cs="Arial"/>
                <w:color w:val="404040"/>
                <w:szCs w:val="20"/>
                <w:lang w:eastAsia="en-GB"/>
              </w:rPr>
              <w:t>Gordon Hextall</w:t>
            </w:r>
          </w:p>
        </w:tc>
        <w:tc>
          <w:tcPr>
            <w:tcW w:w="2500" w:type="pct"/>
            <w:tcBorders>
              <w:top w:val="single" w:sz="4" w:space="0" w:color="auto"/>
              <w:left w:val="single" w:sz="4" w:space="0" w:color="auto"/>
              <w:bottom w:val="single" w:sz="4" w:space="0" w:color="auto"/>
              <w:right w:val="single" w:sz="4" w:space="0" w:color="auto"/>
            </w:tcBorders>
          </w:tcPr>
          <w:p w14:paraId="11350EB3" w14:textId="77777777" w:rsidR="00240295" w:rsidRDefault="00240295" w:rsidP="0019094C">
            <w:pPr>
              <w:spacing w:before="30" w:after="30"/>
              <w:rPr>
                <w:rFonts w:cs="Times New Roman"/>
                <w:color w:val="404040"/>
                <w:lang w:eastAsia="en-GB"/>
              </w:rPr>
            </w:pPr>
            <w:r>
              <w:rPr>
                <w:rFonts w:cs="Times New Roman"/>
                <w:color w:val="404040"/>
                <w:lang w:eastAsia="en-GB"/>
              </w:rPr>
              <w:t>Gemserv (SSC Chair)</w:t>
            </w:r>
          </w:p>
        </w:tc>
      </w:tr>
      <w:tr w:rsidR="00240295" w:rsidRPr="00EA5CE8" w14:paraId="583DE330" w14:textId="77777777" w:rsidTr="0019094C">
        <w:trPr>
          <w:trHeight w:val="285"/>
          <w:jc w:val="center"/>
        </w:trPr>
        <w:tc>
          <w:tcPr>
            <w:tcW w:w="2500" w:type="pct"/>
            <w:tcBorders>
              <w:top w:val="single" w:sz="4" w:space="0" w:color="auto"/>
              <w:left w:val="single" w:sz="4" w:space="0" w:color="auto"/>
              <w:bottom w:val="single" w:sz="4" w:space="0" w:color="auto"/>
              <w:right w:val="single" w:sz="4" w:space="0" w:color="auto"/>
            </w:tcBorders>
          </w:tcPr>
          <w:p w14:paraId="75891C1A" w14:textId="77777777" w:rsidR="00240295" w:rsidRDefault="00240295" w:rsidP="0019094C">
            <w:pPr>
              <w:spacing w:before="30" w:after="30"/>
              <w:rPr>
                <w:rFonts w:cs="Arial"/>
                <w:color w:val="404040"/>
                <w:szCs w:val="20"/>
                <w:lang w:eastAsia="en-GB"/>
              </w:rPr>
            </w:pPr>
            <w:r>
              <w:rPr>
                <w:rFonts w:cs="Arial"/>
                <w:color w:val="404040"/>
                <w:szCs w:val="20"/>
                <w:lang w:eastAsia="en-GB"/>
              </w:rPr>
              <w:t>Phil Twiddy</w:t>
            </w:r>
          </w:p>
        </w:tc>
        <w:tc>
          <w:tcPr>
            <w:tcW w:w="2500" w:type="pct"/>
            <w:tcBorders>
              <w:top w:val="single" w:sz="4" w:space="0" w:color="auto"/>
              <w:left w:val="single" w:sz="4" w:space="0" w:color="auto"/>
              <w:bottom w:val="single" w:sz="4" w:space="0" w:color="auto"/>
              <w:right w:val="single" w:sz="4" w:space="0" w:color="auto"/>
            </w:tcBorders>
          </w:tcPr>
          <w:p w14:paraId="28080F40" w14:textId="77777777" w:rsidR="00240295" w:rsidRDefault="00240295" w:rsidP="0019094C">
            <w:pPr>
              <w:spacing w:before="30" w:after="30"/>
              <w:rPr>
                <w:rFonts w:cs="Times New Roman"/>
                <w:color w:val="404040"/>
                <w:lang w:eastAsia="en-GB"/>
              </w:rPr>
            </w:pPr>
            <w:r>
              <w:rPr>
                <w:rFonts w:cs="Times New Roman"/>
                <w:color w:val="404040"/>
                <w:lang w:eastAsia="en-GB"/>
              </w:rPr>
              <w:t>Gemserv</w:t>
            </w:r>
          </w:p>
        </w:tc>
      </w:tr>
      <w:tr w:rsidR="00240295" w:rsidRPr="00EA5CE8" w14:paraId="54F5E59D" w14:textId="77777777" w:rsidTr="0019094C">
        <w:trPr>
          <w:trHeight w:val="285"/>
          <w:jc w:val="center"/>
        </w:trPr>
        <w:tc>
          <w:tcPr>
            <w:tcW w:w="2500" w:type="pct"/>
            <w:tcBorders>
              <w:top w:val="single" w:sz="4" w:space="0" w:color="auto"/>
              <w:left w:val="single" w:sz="4" w:space="0" w:color="auto"/>
              <w:bottom w:val="single" w:sz="4" w:space="0" w:color="auto"/>
              <w:right w:val="single" w:sz="4" w:space="0" w:color="auto"/>
            </w:tcBorders>
          </w:tcPr>
          <w:p w14:paraId="59419994" w14:textId="77777777" w:rsidR="00240295" w:rsidRPr="006F116D" w:rsidRDefault="00240295" w:rsidP="0019094C">
            <w:pPr>
              <w:spacing w:before="30" w:after="30"/>
              <w:rPr>
                <w:rFonts w:cs="Arial"/>
                <w:color w:val="404040"/>
                <w:szCs w:val="20"/>
                <w:lang w:eastAsia="en-GB"/>
              </w:rPr>
            </w:pPr>
            <w:r w:rsidRPr="006F116D">
              <w:rPr>
                <w:rFonts w:cs="Arial"/>
                <w:color w:val="404040"/>
                <w:szCs w:val="20"/>
                <w:lang w:eastAsia="en-GB"/>
              </w:rPr>
              <w:t>Alastair Cobb</w:t>
            </w:r>
          </w:p>
        </w:tc>
        <w:tc>
          <w:tcPr>
            <w:tcW w:w="2500" w:type="pct"/>
            <w:tcBorders>
              <w:top w:val="single" w:sz="4" w:space="0" w:color="auto"/>
              <w:left w:val="single" w:sz="4" w:space="0" w:color="auto"/>
              <w:bottom w:val="single" w:sz="4" w:space="0" w:color="auto"/>
              <w:right w:val="single" w:sz="4" w:space="0" w:color="auto"/>
            </w:tcBorders>
          </w:tcPr>
          <w:p w14:paraId="44ADA73F" w14:textId="77777777" w:rsidR="00240295" w:rsidRPr="006F116D" w:rsidRDefault="00240295" w:rsidP="0019094C">
            <w:pPr>
              <w:spacing w:before="30" w:after="30"/>
              <w:rPr>
                <w:rFonts w:cs="Times New Roman"/>
                <w:color w:val="404040"/>
                <w:lang w:eastAsia="en-GB"/>
              </w:rPr>
            </w:pPr>
            <w:r w:rsidRPr="006F116D">
              <w:rPr>
                <w:rFonts w:cs="Times New Roman"/>
                <w:color w:val="404040"/>
                <w:lang w:eastAsia="en-GB"/>
              </w:rPr>
              <w:t xml:space="preserve">Landis + </w:t>
            </w:r>
            <w:proofErr w:type="spellStart"/>
            <w:r w:rsidRPr="006F116D">
              <w:rPr>
                <w:rFonts w:cs="Times New Roman"/>
                <w:color w:val="404040"/>
                <w:lang w:eastAsia="en-GB"/>
              </w:rPr>
              <w:t>Gyr</w:t>
            </w:r>
            <w:proofErr w:type="spellEnd"/>
          </w:p>
        </w:tc>
      </w:tr>
      <w:tr w:rsidR="00240295" w:rsidRPr="00EA5CE8" w14:paraId="222AFCCA" w14:textId="77777777" w:rsidTr="0019094C">
        <w:trPr>
          <w:trHeight w:val="285"/>
          <w:jc w:val="center"/>
        </w:trPr>
        <w:tc>
          <w:tcPr>
            <w:tcW w:w="2500" w:type="pct"/>
            <w:tcBorders>
              <w:top w:val="single" w:sz="4" w:space="0" w:color="auto"/>
              <w:left w:val="single" w:sz="4" w:space="0" w:color="auto"/>
              <w:bottom w:val="single" w:sz="4" w:space="0" w:color="auto"/>
              <w:right w:val="single" w:sz="4" w:space="0" w:color="auto"/>
            </w:tcBorders>
          </w:tcPr>
          <w:p w14:paraId="7876AE0B" w14:textId="77777777" w:rsidR="00240295" w:rsidRPr="006F116D" w:rsidRDefault="00240295" w:rsidP="0019094C">
            <w:pPr>
              <w:spacing w:before="30" w:after="30"/>
              <w:rPr>
                <w:rFonts w:cs="Arial"/>
                <w:color w:val="404040"/>
                <w:szCs w:val="20"/>
                <w:lang w:eastAsia="en-GB"/>
              </w:rPr>
            </w:pPr>
            <w:r w:rsidRPr="006F116D">
              <w:rPr>
                <w:rFonts w:cs="Arial"/>
                <w:color w:val="404040"/>
                <w:szCs w:val="20"/>
                <w:lang w:eastAsia="en-GB"/>
              </w:rPr>
              <w:t>Ralph Baxter</w:t>
            </w:r>
          </w:p>
        </w:tc>
        <w:tc>
          <w:tcPr>
            <w:tcW w:w="2500" w:type="pct"/>
            <w:tcBorders>
              <w:top w:val="single" w:sz="4" w:space="0" w:color="auto"/>
              <w:left w:val="single" w:sz="4" w:space="0" w:color="auto"/>
              <w:bottom w:val="single" w:sz="4" w:space="0" w:color="auto"/>
              <w:right w:val="single" w:sz="4" w:space="0" w:color="auto"/>
            </w:tcBorders>
          </w:tcPr>
          <w:p w14:paraId="7BFFDF6B" w14:textId="77777777" w:rsidR="00240295" w:rsidRPr="006F116D" w:rsidRDefault="00240295" w:rsidP="0019094C">
            <w:pPr>
              <w:spacing w:before="30" w:after="30"/>
              <w:rPr>
                <w:rFonts w:cs="Times New Roman"/>
                <w:color w:val="404040"/>
                <w:lang w:eastAsia="en-GB"/>
              </w:rPr>
            </w:pPr>
            <w:r w:rsidRPr="006F116D">
              <w:rPr>
                <w:rFonts w:cs="Times New Roman"/>
                <w:color w:val="404040"/>
                <w:lang w:eastAsia="en-GB"/>
              </w:rPr>
              <w:t>Octopus Energy</w:t>
            </w:r>
          </w:p>
        </w:tc>
      </w:tr>
      <w:tr w:rsidR="00240295" w:rsidRPr="00EA5CE8" w14:paraId="4792D07F" w14:textId="77777777" w:rsidTr="0019094C">
        <w:trPr>
          <w:trHeight w:val="285"/>
          <w:jc w:val="center"/>
        </w:trPr>
        <w:tc>
          <w:tcPr>
            <w:tcW w:w="2500" w:type="pct"/>
            <w:tcBorders>
              <w:top w:val="single" w:sz="4" w:space="0" w:color="auto"/>
              <w:left w:val="single" w:sz="4" w:space="0" w:color="auto"/>
              <w:bottom w:val="single" w:sz="4" w:space="0" w:color="auto"/>
              <w:right w:val="single" w:sz="4" w:space="0" w:color="auto"/>
            </w:tcBorders>
          </w:tcPr>
          <w:p w14:paraId="6630A108" w14:textId="77777777" w:rsidR="00240295" w:rsidRPr="006F116D" w:rsidRDefault="00240295" w:rsidP="0019094C">
            <w:pPr>
              <w:spacing w:before="30" w:after="30"/>
              <w:rPr>
                <w:rFonts w:cs="Arial"/>
                <w:color w:val="404040"/>
                <w:szCs w:val="20"/>
                <w:lang w:eastAsia="en-GB"/>
              </w:rPr>
            </w:pPr>
            <w:r w:rsidRPr="006F116D">
              <w:rPr>
                <w:rFonts w:cs="Arial"/>
                <w:color w:val="404040"/>
                <w:szCs w:val="20"/>
                <w:lang w:eastAsia="en-GB"/>
              </w:rPr>
              <w:t>Emslie Law</w:t>
            </w:r>
          </w:p>
        </w:tc>
        <w:tc>
          <w:tcPr>
            <w:tcW w:w="2500" w:type="pct"/>
            <w:tcBorders>
              <w:top w:val="single" w:sz="4" w:space="0" w:color="auto"/>
              <w:left w:val="single" w:sz="4" w:space="0" w:color="auto"/>
              <w:bottom w:val="single" w:sz="4" w:space="0" w:color="auto"/>
              <w:right w:val="single" w:sz="4" w:space="0" w:color="auto"/>
            </w:tcBorders>
          </w:tcPr>
          <w:p w14:paraId="729E8CF7" w14:textId="77777777" w:rsidR="00240295" w:rsidRPr="006F116D" w:rsidRDefault="00240295" w:rsidP="0019094C">
            <w:pPr>
              <w:spacing w:before="30" w:after="30"/>
              <w:rPr>
                <w:rFonts w:cs="Times New Roman"/>
                <w:color w:val="404040"/>
                <w:lang w:eastAsia="en-GB"/>
              </w:rPr>
            </w:pPr>
            <w:r w:rsidRPr="006F116D">
              <w:rPr>
                <w:rFonts w:cs="Times New Roman"/>
                <w:color w:val="404040"/>
                <w:lang w:eastAsia="en-GB"/>
              </w:rPr>
              <w:t>OVO Energy</w:t>
            </w:r>
          </w:p>
        </w:tc>
      </w:tr>
      <w:tr w:rsidR="00240295" w:rsidRPr="00EA5CE8" w14:paraId="07D93365" w14:textId="77777777" w:rsidTr="0019094C">
        <w:trPr>
          <w:trHeight w:val="285"/>
          <w:jc w:val="center"/>
        </w:trPr>
        <w:tc>
          <w:tcPr>
            <w:tcW w:w="2500" w:type="pct"/>
            <w:tcBorders>
              <w:top w:val="single" w:sz="4" w:space="0" w:color="auto"/>
              <w:left w:val="single" w:sz="4" w:space="0" w:color="auto"/>
              <w:bottom w:val="single" w:sz="4" w:space="0" w:color="auto"/>
              <w:right w:val="single" w:sz="4" w:space="0" w:color="auto"/>
            </w:tcBorders>
          </w:tcPr>
          <w:p w14:paraId="66558036" w14:textId="77777777" w:rsidR="00240295" w:rsidRPr="006F116D" w:rsidRDefault="00240295" w:rsidP="0019094C">
            <w:pPr>
              <w:spacing w:before="30" w:after="30"/>
              <w:rPr>
                <w:rFonts w:cs="Arial"/>
                <w:color w:val="404040"/>
                <w:szCs w:val="20"/>
                <w:lang w:eastAsia="en-GB"/>
              </w:rPr>
            </w:pPr>
            <w:r w:rsidRPr="006F116D">
              <w:rPr>
                <w:rFonts w:cs="Arial"/>
                <w:color w:val="404040"/>
                <w:szCs w:val="20"/>
                <w:lang w:eastAsia="en-GB"/>
              </w:rPr>
              <w:t>Mafs Rahman</w:t>
            </w:r>
          </w:p>
        </w:tc>
        <w:tc>
          <w:tcPr>
            <w:tcW w:w="2500" w:type="pct"/>
            <w:tcBorders>
              <w:top w:val="single" w:sz="4" w:space="0" w:color="auto"/>
              <w:left w:val="single" w:sz="4" w:space="0" w:color="auto"/>
              <w:bottom w:val="single" w:sz="4" w:space="0" w:color="auto"/>
              <w:right w:val="single" w:sz="4" w:space="0" w:color="auto"/>
            </w:tcBorders>
          </w:tcPr>
          <w:p w14:paraId="79247CEB" w14:textId="77777777" w:rsidR="00240295" w:rsidRPr="006F116D" w:rsidRDefault="00240295" w:rsidP="0019094C">
            <w:pPr>
              <w:spacing w:before="30" w:after="30"/>
              <w:rPr>
                <w:rFonts w:cs="Times New Roman"/>
                <w:color w:val="404040"/>
                <w:lang w:eastAsia="en-GB"/>
              </w:rPr>
            </w:pPr>
            <w:r w:rsidRPr="006F116D">
              <w:rPr>
                <w:rFonts w:cs="Times New Roman"/>
                <w:color w:val="404040"/>
                <w:lang w:eastAsia="en-GB"/>
              </w:rPr>
              <w:t>Scottish Power</w:t>
            </w:r>
          </w:p>
        </w:tc>
      </w:tr>
      <w:tr w:rsidR="00240295" w:rsidRPr="00EA5CE8" w14:paraId="76422390" w14:textId="77777777" w:rsidTr="0019094C">
        <w:trPr>
          <w:trHeight w:val="285"/>
          <w:jc w:val="center"/>
        </w:trPr>
        <w:tc>
          <w:tcPr>
            <w:tcW w:w="2500" w:type="pct"/>
            <w:tcBorders>
              <w:top w:val="single" w:sz="4" w:space="0" w:color="auto"/>
              <w:left w:val="single" w:sz="4" w:space="0" w:color="auto"/>
              <w:bottom w:val="single" w:sz="4" w:space="0" w:color="auto"/>
              <w:right w:val="single" w:sz="4" w:space="0" w:color="auto"/>
            </w:tcBorders>
          </w:tcPr>
          <w:p w14:paraId="32954C16" w14:textId="77777777" w:rsidR="00240295" w:rsidRPr="006F116D" w:rsidRDefault="00240295" w:rsidP="0019094C">
            <w:pPr>
              <w:spacing w:before="30" w:after="30"/>
              <w:rPr>
                <w:rFonts w:cs="Arial"/>
                <w:color w:val="404040"/>
                <w:szCs w:val="20"/>
                <w:lang w:eastAsia="en-GB"/>
              </w:rPr>
            </w:pPr>
            <w:r w:rsidRPr="006F116D">
              <w:rPr>
                <w:rFonts w:cs="Arial"/>
                <w:color w:val="404040"/>
                <w:szCs w:val="20"/>
                <w:lang w:eastAsia="en-GB"/>
              </w:rPr>
              <w:t>Matthew Alexander</w:t>
            </w:r>
          </w:p>
        </w:tc>
        <w:tc>
          <w:tcPr>
            <w:tcW w:w="2500" w:type="pct"/>
            <w:tcBorders>
              <w:top w:val="single" w:sz="4" w:space="0" w:color="auto"/>
              <w:left w:val="single" w:sz="4" w:space="0" w:color="auto"/>
              <w:bottom w:val="single" w:sz="4" w:space="0" w:color="auto"/>
              <w:right w:val="single" w:sz="4" w:space="0" w:color="auto"/>
            </w:tcBorders>
          </w:tcPr>
          <w:p w14:paraId="2494A9C8" w14:textId="77777777" w:rsidR="00240295" w:rsidRPr="006F116D" w:rsidRDefault="00240295" w:rsidP="0019094C">
            <w:pPr>
              <w:spacing w:before="30" w:after="30"/>
              <w:rPr>
                <w:rFonts w:cs="Times New Roman"/>
                <w:color w:val="404040"/>
                <w:lang w:eastAsia="en-GB"/>
              </w:rPr>
            </w:pPr>
            <w:r w:rsidRPr="006F116D">
              <w:rPr>
                <w:rFonts w:cs="Times New Roman"/>
                <w:color w:val="404040"/>
                <w:lang w:eastAsia="en-GB"/>
              </w:rPr>
              <w:t>SSEN</w:t>
            </w:r>
          </w:p>
        </w:tc>
      </w:tr>
      <w:tr w:rsidR="00240295" w:rsidRPr="00EA5CE8" w14:paraId="25353326" w14:textId="77777777" w:rsidTr="0019094C">
        <w:trPr>
          <w:trHeight w:val="285"/>
          <w:jc w:val="center"/>
        </w:trPr>
        <w:tc>
          <w:tcPr>
            <w:tcW w:w="2500" w:type="pct"/>
            <w:tcBorders>
              <w:top w:val="single" w:sz="4" w:space="0" w:color="auto"/>
              <w:left w:val="single" w:sz="4" w:space="0" w:color="auto"/>
              <w:bottom w:val="single" w:sz="4" w:space="0" w:color="auto"/>
              <w:right w:val="single" w:sz="4" w:space="0" w:color="auto"/>
            </w:tcBorders>
          </w:tcPr>
          <w:p w14:paraId="625B3735" w14:textId="77777777" w:rsidR="00240295" w:rsidRPr="006F116D" w:rsidRDefault="00240295" w:rsidP="0019094C">
            <w:pPr>
              <w:spacing w:before="30" w:after="30"/>
              <w:rPr>
                <w:rFonts w:cs="Arial"/>
                <w:color w:val="404040"/>
                <w:szCs w:val="20"/>
                <w:lang w:eastAsia="en-GB"/>
              </w:rPr>
            </w:pPr>
            <w:r w:rsidRPr="006F116D">
              <w:rPr>
                <w:rFonts w:cs="Arial"/>
                <w:color w:val="404040"/>
                <w:szCs w:val="20"/>
                <w:lang w:eastAsia="en-GB"/>
              </w:rPr>
              <w:t>Rachel Norberg</w:t>
            </w:r>
          </w:p>
        </w:tc>
        <w:tc>
          <w:tcPr>
            <w:tcW w:w="2500" w:type="pct"/>
            <w:tcBorders>
              <w:top w:val="single" w:sz="4" w:space="0" w:color="auto"/>
              <w:left w:val="single" w:sz="4" w:space="0" w:color="auto"/>
              <w:bottom w:val="single" w:sz="4" w:space="0" w:color="auto"/>
              <w:right w:val="single" w:sz="4" w:space="0" w:color="auto"/>
            </w:tcBorders>
          </w:tcPr>
          <w:p w14:paraId="6061DBAC" w14:textId="77777777" w:rsidR="00240295" w:rsidRPr="006F116D" w:rsidRDefault="00240295" w:rsidP="0019094C">
            <w:pPr>
              <w:spacing w:before="30" w:after="30"/>
              <w:rPr>
                <w:rFonts w:cs="Times New Roman"/>
                <w:color w:val="404040"/>
                <w:lang w:eastAsia="en-GB"/>
              </w:rPr>
            </w:pPr>
            <w:r w:rsidRPr="006F116D">
              <w:rPr>
                <w:rFonts w:cs="Times New Roman"/>
                <w:color w:val="404040"/>
                <w:lang w:eastAsia="en-GB"/>
              </w:rPr>
              <w:t>Utilita</w:t>
            </w:r>
          </w:p>
        </w:tc>
      </w:tr>
      <w:tr w:rsidR="00240295" w:rsidRPr="00EA5CE8" w14:paraId="2ACCFA90" w14:textId="77777777" w:rsidTr="0019094C">
        <w:trPr>
          <w:trHeight w:val="285"/>
          <w:jc w:val="center"/>
        </w:trPr>
        <w:tc>
          <w:tcPr>
            <w:tcW w:w="2500" w:type="pct"/>
            <w:tcBorders>
              <w:top w:val="single" w:sz="4" w:space="0" w:color="auto"/>
              <w:left w:val="single" w:sz="4" w:space="0" w:color="auto"/>
              <w:bottom w:val="single" w:sz="4" w:space="0" w:color="auto"/>
              <w:right w:val="single" w:sz="4" w:space="0" w:color="auto"/>
            </w:tcBorders>
          </w:tcPr>
          <w:p w14:paraId="04F7EE3C" w14:textId="77777777" w:rsidR="00240295" w:rsidRPr="006F116D" w:rsidRDefault="00240295" w:rsidP="0019094C">
            <w:pPr>
              <w:spacing w:before="30" w:after="30"/>
              <w:rPr>
                <w:rFonts w:cs="Arial"/>
                <w:color w:val="404040"/>
                <w:szCs w:val="20"/>
                <w:lang w:eastAsia="en-GB"/>
              </w:rPr>
            </w:pPr>
            <w:r w:rsidRPr="006F116D">
              <w:rPr>
                <w:rFonts w:cs="Arial"/>
                <w:color w:val="404040"/>
                <w:szCs w:val="20"/>
                <w:lang w:eastAsia="en-GB"/>
              </w:rPr>
              <w:t>Gemma Slaney</w:t>
            </w:r>
          </w:p>
        </w:tc>
        <w:tc>
          <w:tcPr>
            <w:tcW w:w="2500" w:type="pct"/>
            <w:tcBorders>
              <w:top w:val="single" w:sz="4" w:space="0" w:color="auto"/>
              <w:left w:val="single" w:sz="4" w:space="0" w:color="auto"/>
              <w:bottom w:val="single" w:sz="4" w:space="0" w:color="auto"/>
              <w:right w:val="single" w:sz="4" w:space="0" w:color="auto"/>
            </w:tcBorders>
          </w:tcPr>
          <w:p w14:paraId="367B1477" w14:textId="77777777" w:rsidR="00240295" w:rsidRPr="006F116D" w:rsidRDefault="00240295" w:rsidP="0019094C">
            <w:pPr>
              <w:spacing w:before="30" w:after="30"/>
              <w:rPr>
                <w:rFonts w:cs="Times New Roman"/>
                <w:color w:val="404040"/>
                <w:lang w:eastAsia="en-GB"/>
              </w:rPr>
            </w:pPr>
            <w:r w:rsidRPr="006F116D">
              <w:rPr>
                <w:rFonts w:cs="Times New Roman"/>
                <w:color w:val="404040"/>
                <w:lang w:eastAsia="en-GB"/>
              </w:rPr>
              <w:t>WPD</w:t>
            </w:r>
          </w:p>
        </w:tc>
      </w:tr>
      <w:tr w:rsidR="00240295" w:rsidRPr="00EA5CE8" w14:paraId="43B95F3A" w14:textId="77777777" w:rsidTr="0019094C">
        <w:trPr>
          <w:trHeight w:val="285"/>
          <w:jc w:val="center"/>
        </w:trPr>
        <w:tc>
          <w:tcPr>
            <w:tcW w:w="2500" w:type="pct"/>
            <w:tcBorders>
              <w:top w:val="single" w:sz="4" w:space="0" w:color="auto"/>
              <w:left w:val="single" w:sz="4" w:space="0" w:color="auto"/>
              <w:bottom w:val="single" w:sz="4" w:space="0" w:color="auto"/>
              <w:right w:val="single" w:sz="4" w:space="0" w:color="auto"/>
            </w:tcBorders>
          </w:tcPr>
          <w:p w14:paraId="14B53E48" w14:textId="77777777" w:rsidR="00240295" w:rsidRPr="006F116D" w:rsidRDefault="00240295" w:rsidP="0019094C">
            <w:pPr>
              <w:spacing w:before="30" w:after="30"/>
              <w:rPr>
                <w:rFonts w:cs="Arial"/>
                <w:color w:val="404040"/>
                <w:szCs w:val="20"/>
                <w:lang w:eastAsia="en-GB"/>
              </w:rPr>
            </w:pPr>
            <w:r w:rsidRPr="006F116D">
              <w:rPr>
                <w:rFonts w:cs="Arial"/>
                <w:color w:val="404040"/>
                <w:szCs w:val="20"/>
                <w:lang w:eastAsia="en-GB"/>
              </w:rPr>
              <w:t>Kelly Kinsman</w:t>
            </w:r>
          </w:p>
        </w:tc>
        <w:tc>
          <w:tcPr>
            <w:tcW w:w="2500" w:type="pct"/>
            <w:tcBorders>
              <w:top w:val="single" w:sz="4" w:space="0" w:color="auto"/>
              <w:left w:val="single" w:sz="4" w:space="0" w:color="auto"/>
              <w:bottom w:val="single" w:sz="4" w:space="0" w:color="auto"/>
              <w:right w:val="single" w:sz="4" w:space="0" w:color="auto"/>
            </w:tcBorders>
          </w:tcPr>
          <w:p w14:paraId="08230D14" w14:textId="77777777" w:rsidR="00240295" w:rsidRPr="006F116D" w:rsidRDefault="00240295" w:rsidP="0019094C">
            <w:pPr>
              <w:spacing w:before="30" w:after="30"/>
              <w:rPr>
                <w:rFonts w:cs="Times New Roman"/>
                <w:color w:val="404040"/>
                <w:lang w:eastAsia="en-GB"/>
              </w:rPr>
            </w:pPr>
            <w:r w:rsidRPr="006F116D">
              <w:rPr>
                <w:rFonts w:cs="Times New Roman"/>
                <w:color w:val="404040"/>
                <w:lang w:eastAsia="en-GB"/>
              </w:rPr>
              <w:t>WDP</w:t>
            </w:r>
          </w:p>
        </w:tc>
      </w:tr>
    </w:tbl>
    <w:p w14:paraId="5CF0E901" w14:textId="0CC09DEC" w:rsidR="00E42FFB" w:rsidRDefault="000055AC" w:rsidP="00F556BC">
      <w:pPr>
        <w:pStyle w:val="Subtitle"/>
      </w:pPr>
      <w:r>
        <w:lastRenderedPageBreak/>
        <w:t>Overview</w:t>
      </w:r>
    </w:p>
    <w:p w14:paraId="4D448DAD" w14:textId="0BD6519F" w:rsidR="006654F1" w:rsidRDefault="006654F1" w:rsidP="006654F1">
      <w:r>
        <w:t xml:space="preserve">The Smart Energy Code Administrator and Secretariat (SECAS) provided an overview of the issue identified by </w:t>
      </w:r>
      <w:hyperlink r:id="rId8" w:history="1">
        <w:r w:rsidRPr="00583EC5">
          <w:rPr>
            <w:rStyle w:val="Hyperlink"/>
          </w:rPr>
          <w:t>MP1</w:t>
        </w:r>
        <w:r>
          <w:rPr>
            <w:rStyle w:val="Hyperlink"/>
          </w:rPr>
          <w:t>16</w:t>
        </w:r>
        <w:r w:rsidRPr="00583EC5">
          <w:rPr>
            <w:rStyle w:val="Hyperlink"/>
          </w:rPr>
          <w:t xml:space="preserve"> ‘</w:t>
        </w:r>
        <w:r>
          <w:rPr>
            <w:rStyle w:val="Hyperlink"/>
          </w:rPr>
          <w:t>Service Request Forecasting</w:t>
        </w:r>
        <w:r w:rsidRPr="00583EC5">
          <w:rPr>
            <w:rStyle w:val="Hyperlink"/>
          </w:rPr>
          <w:t>’</w:t>
        </w:r>
      </w:hyperlink>
      <w:r>
        <w:t>, the Proposed Solution put forward by the Data Communications Company (DCC) and the completed actions from the March 2021 Working Group meeting. The DCC also provided an update on their forecast modelling project and the DCC User Guidance document.</w:t>
      </w:r>
    </w:p>
    <w:p w14:paraId="5471BFC2" w14:textId="77777777" w:rsidR="009949FA" w:rsidRDefault="009949FA" w:rsidP="000055AC"/>
    <w:p w14:paraId="4C3492B5" w14:textId="77777777" w:rsidR="000055AC" w:rsidRDefault="000055AC" w:rsidP="00F556BC">
      <w:pPr>
        <w:pStyle w:val="Subheading"/>
      </w:pPr>
      <w:r w:rsidRPr="009949FA">
        <w:t>Issue</w:t>
      </w:r>
      <w:r>
        <w:t>:</w:t>
      </w:r>
    </w:p>
    <w:p w14:paraId="220E546E" w14:textId="33188747" w:rsidR="006654F1" w:rsidRDefault="006654F1" w:rsidP="006654F1">
      <w:pPr>
        <w:pStyle w:val="ListParagraph"/>
      </w:pPr>
      <w:r>
        <w:t>Every quarter each DCC User must submit an eight-month Service Request (SR) forecast stating how many SRs they anticipate they will send in the following eight months.</w:t>
      </w:r>
    </w:p>
    <w:p w14:paraId="1AC9B919" w14:textId="77777777" w:rsidR="006654F1" w:rsidRDefault="006654F1" w:rsidP="006654F1">
      <w:pPr>
        <w:pStyle w:val="ListParagraph"/>
      </w:pPr>
      <w:r>
        <w:t xml:space="preserve">Each forecast takes approximately two days to complete per DCC </w:t>
      </w:r>
      <w:proofErr w:type="gramStart"/>
      <w:r>
        <w:t>User</w:t>
      </w:r>
      <w:proofErr w:type="gramEnd"/>
    </w:p>
    <w:p w14:paraId="47CEA798" w14:textId="77777777" w:rsidR="006654F1" w:rsidRDefault="006654F1" w:rsidP="006654F1">
      <w:pPr>
        <w:pStyle w:val="ListParagraph"/>
      </w:pPr>
      <w:r>
        <w:t xml:space="preserve">Experience has shown that the forecasts submitted are often </w:t>
      </w:r>
      <w:proofErr w:type="gramStart"/>
      <w:r>
        <w:t>inaccurate</w:t>
      </w:r>
      <w:proofErr w:type="gramEnd"/>
    </w:p>
    <w:p w14:paraId="3CFBE794" w14:textId="77777777" w:rsidR="006654F1" w:rsidRDefault="006654F1" w:rsidP="006654F1">
      <w:pPr>
        <w:pStyle w:val="Subheading"/>
      </w:pPr>
    </w:p>
    <w:p w14:paraId="7FAA8C94" w14:textId="0165E481" w:rsidR="009949FA" w:rsidRDefault="006654F1" w:rsidP="006654F1">
      <w:pPr>
        <w:pStyle w:val="Subheading"/>
      </w:pPr>
      <w:r>
        <w:t>Proposed Solution:</w:t>
      </w:r>
    </w:p>
    <w:p w14:paraId="4D1F0016" w14:textId="77777777" w:rsidR="006654F1" w:rsidRDefault="006654F1" w:rsidP="006654F1">
      <w:pPr>
        <w:pStyle w:val="ListParagraph"/>
        <w:numPr>
          <w:ilvl w:val="0"/>
          <w:numId w:val="6"/>
        </w:numPr>
      </w:pPr>
      <w:r>
        <w:t>Remove obligation on DCC Users to submit quarterly Service Request forecasts</w:t>
      </w:r>
    </w:p>
    <w:p w14:paraId="39533977" w14:textId="1CC0E752" w:rsidR="006654F1" w:rsidRDefault="006654F1" w:rsidP="006654F1">
      <w:pPr>
        <w:pStyle w:val="ListParagraph"/>
        <w:numPr>
          <w:ilvl w:val="0"/>
          <w:numId w:val="6"/>
        </w:numPr>
      </w:pPr>
      <w:r>
        <w:t xml:space="preserve">The DCC </w:t>
      </w:r>
      <w:r w:rsidR="00F03418">
        <w:t>will</w:t>
      </w:r>
      <w:r>
        <w:t xml:space="preserve"> provide a report on the </w:t>
      </w:r>
      <w:r w:rsidRPr="00A001CC">
        <w:t xml:space="preserve">15th Working Day of the months of January, April, </w:t>
      </w:r>
      <w:proofErr w:type="gramStart"/>
      <w:r w:rsidRPr="00A001CC">
        <w:t>July</w:t>
      </w:r>
      <w:proofErr w:type="gramEnd"/>
      <w:r w:rsidRPr="00A001CC">
        <w:t xml:space="preserve"> and October. This will set out a forecast of the number of Service Requests that the DCC expect will be sent in each of the </w:t>
      </w:r>
      <w:r>
        <w:t>six</w:t>
      </w:r>
      <w:r w:rsidRPr="00A001CC">
        <w:t xml:space="preserve"> months following the end of the reported </w:t>
      </w:r>
      <w:proofErr w:type="gramStart"/>
      <w:r w:rsidRPr="00A001CC">
        <w:t>month</w:t>
      </w:r>
      <w:proofErr w:type="gramEnd"/>
    </w:p>
    <w:p w14:paraId="48D04C2B" w14:textId="0F6A52FF" w:rsidR="006654F1" w:rsidRDefault="006654F1" w:rsidP="006654F1">
      <w:pPr>
        <w:pStyle w:val="ListParagraph"/>
        <w:numPr>
          <w:ilvl w:val="0"/>
          <w:numId w:val="6"/>
        </w:numPr>
      </w:pPr>
      <w:r>
        <w:t>T</w:t>
      </w:r>
      <w:r w:rsidRPr="00A001CC">
        <w:t xml:space="preserve">he DCC </w:t>
      </w:r>
      <w:r w:rsidR="00F03418">
        <w:t>will</w:t>
      </w:r>
      <w:r w:rsidRPr="00A001CC">
        <w:t xml:space="preserve"> provide a report on the 10th Working Day following the end of the month that sets out the number of Service Requests sent during that month, a report setting out the current value for every Monthly Service Metric and a comparison of the current value against the relevant Monthly Service Threshold</w:t>
      </w:r>
    </w:p>
    <w:p w14:paraId="7A06E176" w14:textId="5ECB9005" w:rsidR="006654F1" w:rsidRDefault="006654F1" w:rsidP="006654F1">
      <w:pPr>
        <w:pStyle w:val="ListParagraph"/>
        <w:numPr>
          <w:ilvl w:val="0"/>
          <w:numId w:val="6"/>
        </w:numPr>
      </w:pPr>
      <w:r w:rsidRPr="00A001CC">
        <w:t xml:space="preserve">The DCC </w:t>
      </w:r>
      <w:r w:rsidR="00F03418">
        <w:t>will</w:t>
      </w:r>
      <w:r>
        <w:t xml:space="preserve"> </w:t>
      </w:r>
      <w:r w:rsidRPr="00A001CC">
        <w:t xml:space="preserve">provide a report to the </w:t>
      </w:r>
      <w:r>
        <w:t>Smart Energy Code (</w:t>
      </w:r>
      <w:r w:rsidRPr="00A001CC">
        <w:t>SEC</w:t>
      </w:r>
      <w:r>
        <w:t>)</w:t>
      </w:r>
      <w:r w:rsidRPr="00A001CC">
        <w:t xml:space="preserve"> Panel that sets out the aggregate number of Service Requests sent by all Users collectively during that month. Comparisons between actual numbers and the most recent forecast will be </w:t>
      </w:r>
      <w:proofErr w:type="gramStart"/>
      <w:r w:rsidRPr="00A001CC">
        <w:t>included</w:t>
      </w:r>
      <w:proofErr w:type="gramEnd"/>
    </w:p>
    <w:p w14:paraId="750475E2" w14:textId="556F9D74" w:rsidR="006654F1" w:rsidRDefault="006654F1" w:rsidP="006654F1">
      <w:pPr>
        <w:pStyle w:val="ListParagraph"/>
        <w:numPr>
          <w:ilvl w:val="0"/>
          <w:numId w:val="6"/>
        </w:numPr>
      </w:pPr>
      <w:r w:rsidRPr="00A001CC">
        <w:t xml:space="preserve">The DCC </w:t>
      </w:r>
      <w:r w:rsidR="00F03418">
        <w:t>will</w:t>
      </w:r>
      <w:r w:rsidRPr="00A001CC">
        <w:t xml:space="preserve"> provide commentary for any identified reasons why the expected level of accuracy has not been </w:t>
      </w:r>
      <w:proofErr w:type="gramStart"/>
      <w:r w:rsidRPr="00A001CC">
        <w:t>met</w:t>
      </w:r>
      <w:proofErr w:type="gramEnd"/>
    </w:p>
    <w:p w14:paraId="472B4F6B" w14:textId="5A3F2705" w:rsidR="006654F1" w:rsidRDefault="006654F1" w:rsidP="006654F1">
      <w:pPr>
        <w:pStyle w:val="ListParagraph"/>
        <w:numPr>
          <w:ilvl w:val="0"/>
          <w:numId w:val="6"/>
        </w:numPr>
      </w:pPr>
      <w:r>
        <w:t>DCC Users will be requested to feed into the DCC forecasts and make the DCC aware of any scenarios that could result in an increased number of Service Requests being sent as per the DCC Guidance document</w:t>
      </w:r>
    </w:p>
    <w:p w14:paraId="43C8BFB6" w14:textId="3A253275" w:rsidR="006654F1" w:rsidRDefault="006654F1" w:rsidP="006654F1"/>
    <w:p w14:paraId="400D9243" w14:textId="40CE1201" w:rsidR="006654F1" w:rsidRDefault="00352BD8" w:rsidP="00352BD8">
      <w:pPr>
        <w:pStyle w:val="Subheading"/>
      </w:pPr>
      <w:r>
        <w:t>DCC User Guidance document:</w:t>
      </w:r>
    </w:p>
    <w:p w14:paraId="7CB274C5" w14:textId="657C526E" w:rsidR="00352BD8" w:rsidRDefault="00352BD8" w:rsidP="00352BD8">
      <w:r w:rsidRPr="00352BD8">
        <w:t xml:space="preserve">The DCC asks that Users support the production of these Service Request </w:t>
      </w:r>
      <w:r>
        <w:t>f</w:t>
      </w:r>
      <w:r w:rsidRPr="00352BD8">
        <w:t xml:space="preserve">orecasts through their insight, guidance, and cooperation to maintain the monthly target Service Request </w:t>
      </w:r>
      <w:r>
        <w:t>f</w:t>
      </w:r>
      <w:r w:rsidRPr="00352BD8">
        <w:t>orecast accuracy target of 10%.</w:t>
      </w:r>
    </w:p>
    <w:p w14:paraId="16EFAEFF" w14:textId="3CE9999D" w:rsidR="00352BD8" w:rsidRPr="00352BD8" w:rsidRDefault="00352BD8" w:rsidP="00352BD8">
      <w:pPr>
        <w:pStyle w:val="ListParagraph"/>
      </w:pPr>
      <w:r w:rsidRPr="00352BD8">
        <w:t xml:space="preserve">The DCC </w:t>
      </w:r>
      <w:r w:rsidR="00F03418">
        <w:t>will</w:t>
      </w:r>
      <w:r w:rsidRPr="00352BD8">
        <w:t xml:space="preserve"> present and review each forecast and its assumptions with Panel or its delegated </w:t>
      </w:r>
      <w:proofErr w:type="gramStart"/>
      <w:r w:rsidRPr="00352BD8">
        <w:t>authority</w:t>
      </w:r>
      <w:proofErr w:type="gramEnd"/>
    </w:p>
    <w:p w14:paraId="04192583" w14:textId="796EB567" w:rsidR="00352BD8" w:rsidRPr="00352BD8" w:rsidRDefault="00352BD8" w:rsidP="00352BD8">
      <w:pPr>
        <w:pStyle w:val="ListParagraph"/>
      </w:pPr>
      <w:r w:rsidRPr="00352BD8">
        <w:t xml:space="preserve">Once accepted by the Panel or its delegated authority, the Service Request </w:t>
      </w:r>
      <w:r>
        <w:t>f</w:t>
      </w:r>
      <w:r w:rsidRPr="00352BD8">
        <w:t xml:space="preserve">orecast will be published on </w:t>
      </w:r>
      <w:proofErr w:type="gramStart"/>
      <w:r w:rsidRPr="00352BD8">
        <w:t>SharePoint</w:t>
      </w:r>
      <w:proofErr w:type="gramEnd"/>
    </w:p>
    <w:p w14:paraId="53C0C0E5" w14:textId="77777777" w:rsidR="00352BD8" w:rsidRPr="00352BD8" w:rsidRDefault="00352BD8" w:rsidP="00352BD8">
      <w:pPr>
        <w:pStyle w:val="ListParagraph"/>
      </w:pPr>
      <w:r w:rsidRPr="00352BD8">
        <w:lastRenderedPageBreak/>
        <w:t xml:space="preserve">The Panel or its delegated authority will review the forecast accuracy each quarter and provide corrective </w:t>
      </w:r>
      <w:proofErr w:type="gramStart"/>
      <w:r w:rsidRPr="00352BD8">
        <w:t>guidance</w:t>
      </w:r>
      <w:proofErr w:type="gramEnd"/>
    </w:p>
    <w:p w14:paraId="24B4F4C6" w14:textId="7C50A1DB" w:rsidR="00352BD8" w:rsidRPr="00352BD8" w:rsidRDefault="00352BD8" w:rsidP="00352BD8">
      <w:pPr>
        <w:pStyle w:val="ListParagraph"/>
      </w:pPr>
      <w:r w:rsidRPr="00352BD8">
        <w:t>The DCC ma</w:t>
      </w:r>
      <w:r>
        <w:t>y</w:t>
      </w:r>
      <w:r w:rsidRPr="00352BD8">
        <w:t xml:space="preserve"> seek clarification through User Service Management reviews or Users directly of behaviour </w:t>
      </w:r>
      <w:proofErr w:type="gramStart"/>
      <w:r w:rsidRPr="00352BD8">
        <w:t>changes</w:t>
      </w:r>
      <w:proofErr w:type="gramEnd"/>
    </w:p>
    <w:p w14:paraId="4D1F12C4" w14:textId="7DB40C2A" w:rsidR="00352BD8" w:rsidRPr="00352BD8" w:rsidRDefault="00352BD8" w:rsidP="00352BD8">
      <w:pPr>
        <w:pStyle w:val="ListParagraph"/>
      </w:pPr>
      <w:r w:rsidRPr="00352BD8">
        <w:t xml:space="preserve">Users are asked to notify the DCC of expected future changes in their </w:t>
      </w:r>
      <w:r>
        <w:t>S</w:t>
      </w:r>
      <w:r w:rsidRPr="00352BD8">
        <w:t xml:space="preserve">ervice </w:t>
      </w:r>
      <w:r>
        <w:t>R</w:t>
      </w:r>
      <w:r w:rsidRPr="00352BD8">
        <w:t>equest profile</w:t>
      </w:r>
    </w:p>
    <w:p w14:paraId="3C1FC3F1" w14:textId="77777777" w:rsidR="00352BD8" w:rsidRPr="00352BD8" w:rsidRDefault="00352BD8" w:rsidP="00352BD8">
      <w:pPr>
        <w:pStyle w:val="ListParagraph"/>
      </w:pPr>
      <w:r w:rsidRPr="00352BD8">
        <w:t>Users are asked to notify the DCC of changes to their meter installation capacity of more than 10%</w:t>
      </w:r>
    </w:p>
    <w:p w14:paraId="29ACCD1E" w14:textId="256B3761" w:rsidR="00352BD8" w:rsidRPr="00352BD8" w:rsidRDefault="00352BD8" w:rsidP="00352BD8">
      <w:pPr>
        <w:pStyle w:val="ListParagraph"/>
      </w:pPr>
      <w:r w:rsidRPr="00352BD8">
        <w:t xml:space="preserve">Annually the DCC and the Panel or its delegated authority </w:t>
      </w:r>
      <w:r w:rsidR="000E7FAF" w:rsidRPr="000E7FAF">
        <w:t xml:space="preserve">will review with Users the purpose, </w:t>
      </w:r>
      <w:proofErr w:type="gramStart"/>
      <w:r w:rsidR="000E7FAF" w:rsidRPr="000E7FAF">
        <w:t>content</w:t>
      </w:r>
      <w:proofErr w:type="gramEnd"/>
      <w:r w:rsidR="000E7FAF" w:rsidRPr="000E7FAF">
        <w:t xml:space="preserve"> and structure of the Service Request Forecast</w:t>
      </w:r>
      <w:r w:rsidRPr="00352BD8">
        <w:t xml:space="preserve"> </w:t>
      </w:r>
    </w:p>
    <w:p w14:paraId="79C322D9" w14:textId="6545C632" w:rsidR="00352BD8" w:rsidRPr="00352BD8" w:rsidRDefault="00352BD8" w:rsidP="00352BD8">
      <w:pPr>
        <w:pStyle w:val="ListParagraph"/>
      </w:pPr>
      <w:r w:rsidRPr="00352BD8">
        <w:t xml:space="preserve">Annually the DCC will conduct a workshop with Users to capture the assumptions and macro trends for inclusion in its 48-month Service Request forecast. This workshop will take place in October each </w:t>
      </w:r>
      <w:proofErr w:type="gramStart"/>
      <w:r w:rsidRPr="00352BD8">
        <w:t>year</w:t>
      </w:r>
      <w:proofErr w:type="gramEnd"/>
    </w:p>
    <w:p w14:paraId="62040712" w14:textId="77777777" w:rsidR="00583EC5" w:rsidRDefault="00583EC5" w:rsidP="00D160AF"/>
    <w:p w14:paraId="316EA791" w14:textId="469784D6" w:rsidR="00E31D79" w:rsidRDefault="009949FA" w:rsidP="00F556BC">
      <w:pPr>
        <w:pStyle w:val="Subtitle"/>
      </w:pPr>
      <w:r>
        <w:t>Working Group d</w:t>
      </w:r>
      <w:r w:rsidR="00E31D79">
        <w:t>iscussions</w:t>
      </w:r>
    </w:p>
    <w:p w14:paraId="2931A0F1" w14:textId="0EE6FC7B" w:rsidR="00260DC6" w:rsidRDefault="007C507D" w:rsidP="007C507D">
      <w:pPr>
        <w:pStyle w:val="Subheading"/>
      </w:pPr>
      <w:r>
        <w:t xml:space="preserve">Previous discussions </w:t>
      </w:r>
      <w:proofErr w:type="gramStart"/>
      <w:r>
        <w:t>held</w:t>
      </w:r>
      <w:proofErr w:type="gramEnd"/>
    </w:p>
    <w:p w14:paraId="64D31EE0" w14:textId="506E34A0" w:rsidR="009672F9" w:rsidRDefault="009672F9" w:rsidP="00F85CE1">
      <w:r>
        <w:t xml:space="preserve">SECAS sought to </w:t>
      </w:r>
      <w:r w:rsidR="007C507D">
        <w:t>clarify</w:t>
      </w:r>
      <w:r>
        <w:t xml:space="preserve"> whether Anomaly Detection Thresholds (ADTs) are within scope of MP116. The Working Group confirmed that although they follow a similar process to Service Request forecasting, ADTs are separate and therefore out of scope of this modification. Though this modification seeks to remove the obligation on Users having to complete the forecasts, a Working Group member stated that Users will still have to complete a very similar process </w:t>
      </w:r>
      <w:proofErr w:type="gramStart"/>
      <w:r>
        <w:t>in order to</w:t>
      </w:r>
      <w:proofErr w:type="gramEnd"/>
      <w:r>
        <w:t xml:space="preserve"> obtain ADTs</w:t>
      </w:r>
      <w:r w:rsidR="00F03418">
        <w:t xml:space="preserve"> and to feed in their information to the process</w:t>
      </w:r>
      <w:r>
        <w:t>.</w:t>
      </w:r>
    </w:p>
    <w:p w14:paraId="3B2E4859" w14:textId="77777777" w:rsidR="008A102C" w:rsidRDefault="008A102C" w:rsidP="00F85CE1"/>
    <w:p w14:paraId="7FB283A2" w14:textId="4BF4A676" w:rsidR="005148C1" w:rsidRDefault="008A102C" w:rsidP="008A102C">
      <w:pPr>
        <w:pStyle w:val="Subheading"/>
      </w:pPr>
      <w:r>
        <w:t>Service Request criteria</w:t>
      </w:r>
    </w:p>
    <w:p w14:paraId="6891FBD3" w14:textId="64447E2B" w:rsidR="007A6F99" w:rsidRDefault="004A3E9C" w:rsidP="00F85CE1">
      <w:r>
        <w:t>In relation to</w:t>
      </w:r>
      <w:r w:rsidR="007A6F99">
        <w:t xml:space="preserve"> Service Request criteria, the DCC stated that e</w:t>
      </w:r>
      <w:r w:rsidR="007A6F99" w:rsidRPr="007A6F99">
        <w:t>ach Service Request</w:t>
      </w:r>
      <w:r w:rsidR="007A6F99">
        <w:t xml:space="preserve"> f</w:t>
      </w:r>
      <w:r w:rsidR="007A6F99" w:rsidRPr="007A6F99">
        <w:t xml:space="preserve">orecast will predict the volume of distinct </w:t>
      </w:r>
      <w:r w:rsidR="007A6F99">
        <w:t>S</w:t>
      </w:r>
      <w:r w:rsidR="007A6F99" w:rsidRPr="007A6F99">
        <w:t xml:space="preserve">ervice </w:t>
      </w:r>
      <w:r w:rsidR="007A6F99">
        <w:t>R</w:t>
      </w:r>
      <w:r w:rsidR="007A6F99" w:rsidRPr="007A6F99">
        <w:t xml:space="preserve">equests (excluding retries), as indicated by their Service Request ID, sent over the </w:t>
      </w:r>
      <w:proofErr w:type="gramStart"/>
      <w:r w:rsidR="007A6F99" w:rsidRPr="007A6F99">
        <w:t>time</w:t>
      </w:r>
      <w:r>
        <w:t xml:space="preserve"> </w:t>
      </w:r>
      <w:r w:rsidR="007A6F99" w:rsidRPr="007A6F99">
        <w:t>period</w:t>
      </w:r>
      <w:proofErr w:type="gramEnd"/>
      <w:r w:rsidR="007A6F99" w:rsidRPr="007A6F99">
        <w:t xml:space="preserve"> covered by the forecast.</w:t>
      </w:r>
      <w:r w:rsidR="007A6F99">
        <w:t xml:space="preserve"> There has been one identified exception to this which is Service Request Variant (SRV) 11.1 </w:t>
      </w:r>
      <w:r w:rsidR="00FE787F">
        <w:t xml:space="preserve">‘Update Firmware’ </w:t>
      </w:r>
      <w:r w:rsidR="007A6F99">
        <w:t>as a single SR results in the DCC sending multiple commands to Devices.</w:t>
      </w:r>
    </w:p>
    <w:p w14:paraId="135B2A57" w14:textId="1A5BA18F" w:rsidR="00AE0533" w:rsidRDefault="007A6F99" w:rsidP="00F85CE1">
      <w:r>
        <w:t xml:space="preserve">A Working Group member raised the relevance of </w:t>
      </w:r>
      <w:hyperlink r:id="rId9" w:history="1">
        <w:r w:rsidRPr="00DB4CAE">
          <w:rPr>
            <w:rStyle w:val="Hyperlink"/>
          </w:rPr>
          <w:t>MP117 ‘Bulk CH returns’</w:t>
        </w:r>
      </w:hyperlink>
      <w:r w:rsidR="00DB4CAE">
        <w:t xml:space="preserve"> as </w:t>
      </w:r>
      <w:r w:rsidR="00AE0533">
        <w:t>The Proposed Solution increases the number of Global Unique Identifiers (GUIDs) on the following Service Requests for issuing Communications Hubs:</w:t>
      </w:r>
    </w:p>
    <w:p w14:paraId="485198CE" w14:textId="0D5D7394" w:rsidR="00AE0533" w:rsidRDefault="00AE0533" w:rsidP="00791799">
      <w:pPr>
        <w:pStyle w:val="ListParagraph"/>
      </w:pPr>
      <w:r w:rsidRPr="002A040B">
        <w:t>SR</w:t>
      </w:r>
      <w:r w:rsidR="00791799">
        <w:t xml:space="preserve"> </w:t>
      </w:r>
      <w:r w:rsidRPr="002A040B">
        <w:t>8.14.3 ‘Communications Hub Status Update – Fault Return’</w:t>
      </w:r>
    </w:p>
    <w:p w14:paraId="42F0E5B7" w14:textId="760A8A02" w:rsidR="00AE0533" w:rsidRDefault="00AE0533" w:rsidP="00791799">
      <w:pPr>
        <w:pStyle w:val="ListParagraph"/>
      </w:pPr>
      <w:r w:rsidRPr="002A040B">
        <w:t>SR</w:t>
      </w:r>
      <w:r w:rsidR="00791799">
        <w:t xml:space="preserve"> </w:t>
      </w:r>
      <w:r w:rsidRPr="002A040B">
        <w:t>8</w:t>
      </w:r>
      <w:r w:rsidRPr="00A02B61">
        <w:t xml:space="preserve">.14.4 </w:t>
      </w:r>
      <w:r>
        <w:t>‘Communications Hub Status Update – No Fault Return’</w:t>
      </w:r>
    </w:p>
    <w:p w14:paraId="12678ACC" w14:textId="261008DC" w:rsidR="007A6F99" w:rsidRDefault="00AE0533" w:rsidP="00F85CE1">
      <w:r>
        <w:t xml:space="preserve">The DCC has confirmed that there will be a cap of 999 </w:t>
      </w:r>
      <w:r w:rsidR="00791799">
        <w:t>GUIDs</w:t>
      </w:r>
      <w:r>
        <w:t xml:space="preserve"> available per Service Request. </w:t>
      </w:r>
      <w:r w:rsidR="00DB4CAE">
        <w:t xml:space="preserve">The SECAS Technical Operations team stated that the SR is only received by the Data Service Provider and therefore </w:t>
      </w:r>
      <w:r w:rsidR="004A3E9C">
        <w:t>will have no impact on</w:t>
      </w:r>
      <w:r w:rsidR="00DB4CAE">
        <w:t xml:space="preserve"> MP116. This will be monitored as MP117 progresses in case of any alternative solution being put forward.</w:t>
      </w:r>
    </w:p>
    <w:p w14:paraId="2DD148B7" w14:textId="50DF5871" w:rsidR="008A102C" w:rsidRDefault="008A102C" w:rsidP="00F85CE1"/>
    <w:p w14:paraId="2350B73A" w14:textId="402FB1F3" w:rsidR="008A102C" w:rsidRDefault="008A102C" w:rsidP="008A102C">
      <w:pPr>
        <w:pStyle w:val="Subheading"/>
      </w:pPr>
      <w:r>
        <w:lastRenderedPageBreak/>
        <w:t xml:space="preserve">Forecast reporting </w:t>
      </w:r>
      <w:proofErr w:type="gramStart"/>
      <w:r>
        <w:t>proposal</w:t>
      </w:r>
      <w:proofErr w:type="gramEnd"/>
    </w:p>
    <w:p w14:paraId="16FDAC85" w14:textId="799A418A" w:rsidR="00DB4CAE" w:rsidRDefault="00DB4CAE" w:rsidP="00F85CE1">
      <w:r>
        <w:t>The DCC discussed the forecast reporting, whereby t</w:t>
      </w:r>
      <w:r w:rsidRPr="00DB4CAE">
        <w:t xml:space="preserve">he DCC will produce two </w:t>
      </w:r>
      <w:r>
        <w:t>SR</w:t>
      </w:r>
      <w:r w:rsidRPr="00DB4CAE">
        <w:t xml:space="preserve"> forecasts covering </w:t>
      </w:r>
      <w:r>
        <w:t>Smart Metering Equipment Technical Specifications 1 (</w:t>
      </w:r>
      <w:r w:rsidRPr="00DB4CAE">
        <w:t>SMETS1</w:t>
      </w:r>
      <w:r>
        <w:t>)</w:t>
      </w:r>
      <w:r w:rsidRPr="00DB4CAE">
        <w:t xml:space="preserve"> and </w:t>
      </w:r>
      <w:r>
        <w:t>Smart Metering Equipment Technical Specifications 2 (</w:t>
      </w:r>
      <w:r w:rsidRPr="00DB4CAE">
        <w:t>SMETS2</w:t>
      </w:r>
      <w:r>
        <w:t>)</w:t>
      </w:r>
      <w:r w:rsidRPr="00DB4CAE">
        <w:t xml:space="preserve"> and a single variance report</w:t>
      </w:r>
      <w:r>
        <w:t>.</w:t>
      </w:r>
    </w:p>
    <w:p w14:paraId="28CF24DF" w14:textId="0DC1FB76" w:rsidR="000F4ABE" w:rsidRDefault="000F4ABE" w:rsidP="00F85CE1">
      <w:r>
        <w:t>The quarterly SR variance report will present the monthly variance between actual and forecast volumes at an aggregate level. The criteria for an SRV to be included in the report is for the SRV to be more than 0.25% of aggregate SR volumes. Currently, this means that approximately 30 SRVs are included and account for 95% of SR volumes</w:t>
      </w:r>
      <w:r w:rsidR="004A3E9C">
        <w:t xml:space="preserve"> in total</w:t>
      </w:r>
      <w:r>
        <w:t>.</w:t>
      </w:r>
      <w:r w:rsidR="00FE787F">
        <w:t xml:space="preserve"> Clarification was sought for several SRs. SRV 11.1 will be tracked by the Transaction ID due to the nature of the SR. SRV 2.1 ‘Update Prepay Configuration’ and SRV 8.1.1 </w:t>
      </w:r>
      <w:r w:rsidR="00431C56">
        <w:t xml:space="preserve">‘Commission Device’ </w:t>
      </w:r>
      <w:r w:rsidR="00FE787F">
        <w:t>were flagged as possible inclusions. The DCC stated that the</w:t>
      </w:r>
      <w:r w:rsidR="004A3E9C">
        <w:t xml:space="preserve"> current recorded</w:t>
      </w:r>
      <w:r w:rsidR="00FE787F">
        <w:t xml:space="preserve"> volume of these SRVs means that they are not shown on the list. The DCC took an action to </w:t>
      </w:r>
      <w:r w:rsidR="004A3E9C">
        <w:t>provide</w:t>
      </w:r>
      <w:r w:rsidR="00FE787F">
        <w:t xml:space="preserve"> the list of SRVs and their respective volumes in a table that will be distributed as part of the Refinement Consultation.</w:t>
      </w:r>
    </w:p>
    <w:p w14:paraId="44AF8EED" w14:textId="1E0AEAB9" w:rsidR="008A102C" w:rsidRDefault="008A102C" w:rsidP="00F85CE1"/>
    <w:p w14:paraId="23DB7FC5" w14:textId="4658AAFE" w:rsidR="008A102C" w:rsidRDefault="008A102C" w:rsidP="008A102C">
      <w:pPr>
        <w:pStyle w:val="Subheading"/>
      </w:pPr>
      <w:r>
        <w:t>Service Request forecast output</w:t>
      </w:r>
    </w:p>
    <w:p w14:paraId="52A4B601" w14:textId="34193F87" w:rsidR="008A102C" w:rsidRDefault="008A102C" w:rsidP="008A102C">
      <w:r>
        <w:t xml:space="preserve">The DCC informed the Working Group </w:t>
      </w:r>
      <w:r w:rsidR="006330DD">
        <w:t>of the content of the Service Request forecast:</w:t>
      </w:r>
    </w:p>
    <w:p w14:paraId="3B11F811" w14:textId="16E96F0B" w:rsidR="006330DD" w:rsidRPr="006330DD" w:rsidRDefault="006330DD" w:rsidP="006330DD">
      <w:pPr>
        <w:pStyle w:val="ListParagraph"/>
      </w:pPr>
      <w:r w:rsidRPr="006330DD">
        <w:t xml:space="preserve">Commentary on expected </w:t>
      </w:r>
      <w:r w:rsidR="00216A51">
        <w:t>SR</w:t>
      </w:r>
      <w:r w:rsidRPr="006330DD">
        <w:t xml:space="preserve"> </w:t>
      </w:r>
      <w:r w:rsidR="00216A51">
        <w:t>v</w:t>
      </w:r>
      <w:r w:rsidRPr="006330DD">
        <w:t>olumes</w:t>
      </w:r>
    </w:p>
    <w:p w14:paraId="3B668835" w14:textId="77777777" w:rsidR="006330DD" w:rsidRPr="006330DD" w:rsidRDefault="006330DD" w:rsidP="006330DD">
      <w:pPr>
        <w:pStyle w:val="ListParagraph"/>
      </w:pPr>
      <w:r w:rsidRPr="006330DD">
        <w:t xml:space="preserve">Detail the assumptions made in producing the </w:t>
      </w:r>
      <w:proofErr w:type="gramStart"/>
      <w:r w:rsidRPr="006330DD">
        <w:t>forecast</w:t>
      </w:r>
      <w:proofErr w:type="gramEnd"/>
    </w:p>
    <w:p w14:paraId="67841F89" w14:textId="247B4965" w:rsidR="006330DD" w:rsidRPr="006330DD" w:rsidRDefault="006330DD" w:rsidP="006330DD">
      <w:pPr>
        <w:pStyle w:val="ListParagraph"/>
      </w:pPr>
      <w:r w:rsidRPr="006330DD">
        <w:t xml:space="preserve">Present the predicted </w:t>
      </w:r>
      <w:r w:rsidR="00216A51">
        <w:t>SR</w:t>
      </w:r>
      <w:r w:rsidRPr="006330DD">
        <w:t xml:space="preserve"> volumes by </w:t>
      </w:r>
      <w:r w:rsidR="00216A51">
        <w:t>SRV</w:t>
      </w:r>
      <w:r w:rsidRPr="006330DD">
        <w:t xml:space="preserve"> by </w:t>
      </w:r>
      <w:proofErr w:type="gramStart"/>
      <w:r w:rsidRPr="006330DD">
        <w:t>month</w:t>
      </w:r>
      <w:proofErr w:type="gramEnd"/>
    </w:p>
    <w:p w14:paraId="52BAB325" w14:textId="0D8738AE" w:rsidR="006330DD" w:rsidRPr="006330DD" w:rsidRDefault="006330DD" w:rsidP="006330DD">
      <w:pPr>
        <w:pStyle w:val="ListParagraph"/>
      </w:pPr>
      <w:r w:rsidRPr="006330DD">
        <w:t xml:space="preserve">Present the predicted number of </w:t>
      </w:r>
      <w:r w:rsidR="00216A51">
        <w:t>D</w:t>
      </w:r>
      <w:r w:rsidRPr="006330DD">
        <w:t xml:space="preserve">evices installed and enrolled by </w:t>
      </w:r>
      <w:proofErr w:type="gramStart"/>
      <w:r w:rsidRPr="006330DD">
        <w:t>month</w:t>
      </w:r>
      <w:proofErr w:type="gramEnd"/>
    </w:p>
    <w:p w14:paraId="5F776D41" w14:textId="4F300821" w:rsidR="006330DD" w:rsidRPr="006330DD" w:rsidRDefault="006330DD" w:rsidP="006330DD">
      <w:pPr>
        <w:pStyle w:val="ListParagraph"/>
      </w:pPr>
      <w:r w:rsidRPr="006330DD">
        <w:t>Guidance and thresholds for SRV volume changes</w:t>
      </w:r>
      <w:r w:rsidR="00216A51">
        <w:t xml:space="preserve"> that</w:t>
      </w:r>
      <w:r w:rsidRPr="006330DD">
        <w:t xml:space="preserve"> Users should bring to DCC’s </w:t>
      </w:r>
      <w:proofErr w:type="gramStart"/>
      <w:r w:rsidRPr="006330DD">
        <w:t>attention</w:t>
      </w:r>
      <w:proofErr w:type="gramEnd"/>
      <w:r w:rsidRPr="006330DD">
        <w:t xml:space="preserve"> </w:t>
      </w:r>
    </w:p>
    <w:p w14:paraId="460FC9F9" w14:textId="2F7FF929" w:rsidR="00216A51" w:rsidRDefault="006330DD" w:rsidP="00216A51">
      <w:pPr>
        <w:pStyle w:val="ListParagraph"/>
      </w:pPr>
      <w:r w:rsidRPr="006330DD">
        <w:t xml:space="preserve">Provide charts of aggregate </w:t>
      </w:r>
      <w:r w:rsidR="00216A51">
        <w:t>SRs</w:t>
      </w:r>
      <w:r w:rsidRPr="006330DD">
        <w:t xml:space="preserve"> and the top </w:t>
      </w:r>
      <w:r w:rsidR="00F03418">
        <w:t>ten</w:t>
      </w:r>
      <w:r w:rsidRPr="006330DD">
        <w:t xml:space="preserve"> </w:t>
      </w:r>
      <w:r w:rsidR="00216A51">
        <w:t>SRVs</w:t>
      </w:r>
      <w:r w:rsidRPr="006330DD">
        <w:t>, covering a period of 12 months (</w:t>
      </w:r>
      <w:r w:rsidR="00F03418">
        <w:t>six</w:t>
      </w:r>
      <w:r w:rsidRPr="006330DD">
        <w:t xml:space="preserve"> months of actual volumes and 6 months of predicted volumes).</w:t>
      </w:r>
    </w:p>
    <w:p w14:paraId="4FA15FC4" w14:textId="25307FC9" w:rsidR="00E052DA" w:rsidRDefault="00E052DA" w:rsidP="00216A51">
      <w:r>
        <w:t>A Working Group member querie</w:t>
      </w:r>
      <w:r w:rsidR="004A3E9C">
        <w:t>d</w:t>
      </w:r>
      <w:r>
        <w:t xml:space="preserve"> what the consequences are for having accurate/inaccurate forecasts. They stated that the current method has become redundant because of its inaccuracy but this has not had an impact on network capacity.</w:t>
      </w:r>
      <w:r w:rsidR="003C280A">
        <w:t xml:space="preserve"> The SECAS Technical Operations team responded that accurately forecasting usage enables the DCC to introduce greater capacity and aids long-term planning. The DCC also stated it benefits Service Providers in helping them manage their own capacity from month to month</w:t>
      </w:r>
      <w:r w:rsidR="008F317C">
        <w:t xml:space="preserve"> by projecting usage at a component level</w:t>
      </w:r>
      <w:r w:rsidR="003C280A">
        <w:t>.</w:t>
      </w:r>
    </w:p>
    <w:p w14:paraId="61ECBDC8" w14:textId="4FC1EC9D" w:rsidR="003C280A" w:rsidRDefault="003C280A" w:rsidP="00216A51">
      <w:r>
        <w:t xml:space="preserve">It was </w:t>
      </w:r>
      <w:r w:rsidR="004A3E9C">
        <w:t xml:space="preserve">further </w:t>
      </w:r>
      <w:r>
        <w:t xml:space="preserve">discussed that Users’ forecasts have lacked accuracy for some </w:t>
      </w:r>
      <w:r w:rsidR="00F03418">
        <w:t>time,</w:t>
      </w:r>
      <w:r>
        <w:t xml:space="preserve"> but it has not impacted network capacity. This is due to the DCC developing and producing their own internal forecasts. The DCC reiterated that the intent of this modification is to formalise the new process for producing more accurate forecasts and have it codified into the SEC.</w:t>
      </w:r>
      <w:r w:rsidR="008F317C">
        <w:t xml:space="preserve"> </w:t>
      </w:r>
      <w:r w:rsidR="00F03418">
        <w:t>T</w:t>
      </w:r>
      <w:r w:rsidR="008F317C">
        <w:t>he SECAS Technical Operations team also stated that the current obligation in the SEC does not fulfil its purpose and this modification aims to address this.</w:t>
      </w:r>
    </w:p>
    <w:p w14:paraId="2CE743F8" w14:textId="240101A2" w:rsidR="003D1E87" w:rsidRDefault="009361BA" w:rsidP="00216A51">
      <w:r>
        <w:t xml:space="preserve">A Working Group member </w:t>
      </w:r>
      <w:r w:rsidR="003D1E87">
        <w:t>queried whether an alternative solution should be considered as Users still have to complete</w:t>
      </w:r>
      <w:r w:rsidR="004A3E9C">
        <w:t xml:space="preserve"> </w:t>
      </w:r>
      <w:proofErr w:type="gramStart"/>
      <w:r w:rsidR="004A3E9C">
        <w:t>a majority of</w:t>
      </w:r>
      <w:proofErr w:type="gramEnd"/>
      <w:r w:rsidR="003D1E87">
        <w:t xml:space="preserve"> the same work for ADTs and so suggested whether the accuracy tolerances could be expanded. The DCC responded that the 10% tolerance is in line with Service Provider contracts.</w:t>
      </w:r>
    </w:p>
    <w:p w14:paraId="5870C912" w14:textId="0DF0ABCA" w:rsidR="008F317C" w:rsidRPr="008A102C" w:rsidRDefault="003D1E87" w:rsidP="00216A51">
      <w:r>
        <w:t xml:space="preserve">It was asked whether there would be any penalty system in place if the DCC Service Request forecasts fell outside the accuracy tolerances. It was discussed that it will be more important to identify and understand where the inaccuracy stemmed from to help improve the modelling for future </w:t>
      </w:r>
      <w:r>
        <w:lastRenderedPageBreak/>
        <w:t>forecasts. The provision of tangible data from Users would aid the DCC in meeting their accuracy targets.</w:t>
      </w:r>
      <w:r w:rsidR="009361BA">
        <w:t xml:space="preserve"> </w:t>
      </w:r>
    </w:p>
    <w:p w14:paraId="41A42C47" w14:textId="77777777" w:rsidR="005148C1" w:rsidRDefault="005148C1" w:rsidP="00F85CE1"/>
    <w:p w14:paraId="783D6D18" w14:textId="314256D5" w:rsidR="005148C1" w:rsidRDefault="005148C1" w:rsidP="005148C1">
      <w:pPr>
        <w:pStyle w:val="Subheading"/>
      </w:pPr>
      <w:r>
        <w:t>DCC User Guidance document</w:t>
      </w:r>
    </w:p>
    <w:p w14:paraId="2819297C" w14:textId="6C1EADC9" w:rsidR="005148C1" w:rsidRDefault="005148C1" w:rsidP="00F85CE1">
      <w:r>
        <w:t>The DCC presented the key points of the DCC Guidance document which was drafted after the March 2021 Working Group. The Working Group agreed to send their queries and suggestions to SECAS to help further improve the document.</w:t>
      </w:r>
    </w:p>
    <w:p w14:paraId="1A167C21" w14:textId="345912C3" w:rsidR="007C507D" w:rsidRDefault="007C507D" w:rsidP="00F85CE1">
      <w:r>
        <w:t>A Working Group member showed concern regarding the User input as it was deemed t</w:t>
      </w:r>
      <w:r w:rsidR="00C74176">
        <w:t>o</w:t>
      </w:r>
      <w:r>
        <w:t xml:space="preserve">o vague in the current draft of the DCC User Guidance document. </w:t>
      </w:r>
      <w:r w:rsidR="00C74176">
        <w:t>T</w:t>
      </w:r>
      <w:r>
        <w:t>hey stated that theoretically, a User may make a substantial change in their SR volumes, but it may not go beyond the 10% accuracy tolerance and would not inform the DCC. If several Users took this approach, the 10% accuracy tolerance would be exceeded but the DCC would not be informed by Users.</w:t>
      </w:r>
    </w:p>
    <w:p w14:paraId="36F86010" w14:textId="5D9F3154" w:rsidR="007C507D" w:rsidRDefault="007C507D" w:rsidP="00F85CE1">
      <w:r>
        <w:t xml:space="preserve">A member asked if the </w:t>
      </w:r>
      <w:r w:rsidR="00F03418">
        <w:t xml:space="preserve">requirement </w:t>
      </w:r>
      <w:r>
        <w:t>on DCC Users is likely to be mandated, however the DCC stated that it will remain only as guidance. A question was asked if Users would want to disclose commercial</w:t>
      </w:r>
      <w:r w:rsidR="00F03418">
        <w:t>ly sensitive</w:t>
      </w:r>
      <w:r>
        <w:t xml:space="preserve"> information when advising the DCC of increased SR volumes.</w:t>
      </w:r>
      <w:r w:rsidR="00F03418">
        <w:t xml:space="preserve"> This could potentially be identified by competitors</w:t>
      </w:r>
      <w:r>
        <w:t xml:space="preserve"> This will be captured in the next draft of the DCC User Guidance document. it was also discussed that it would be advantageous for the DCC to set out some examples of when they would expect Users to inform the DCC of an expected increase in SR volumes.</w:t>
      </w:r>
    </w:p>
    <w:p w14:paraId="1513BDCA" w14:textId="3F344BBE" w:rsidR="007C507D" w:rsidRDefault="007C507D" w:rsidP="00F85CE1">
      <w:r>
        <w:t xml:space="preserve">A query was raised regarding the use of the DCC SharePoint. The Working Group member asked if the upload of the report would be done so manually or if automation could be introduced. This is due to frustrations where other reports (separate from Service Request forecasting) are not uploaded on time and in some cases uploaded incomplete. The DCC stated that the report will be uploaded </w:t>
      </w:r>
      <w:r w:rsidR="00F03418">
        <w:t>manually,</w:t>
      </w:r>
      <w:r>
        <w:t xml:space="preserve"> and they will endeavour to provide the report on the agreed day/time.</w:t>
      </w:r>
    </w:p>
    <w:p w14:paraId="076BD512" w14:textId="315EAD4F" w:rsidR="009672F9" w:rsidRDefault="00431C56" w:rsidP="00F85CE1">
      <w:r>
        <w:t xml:space="preserve">SECAS </w:t>
      </w:r>
      <w:r w:rsidR="00F03418">
        <w:t xml:space="preserve">asked </w:t>
      </w:r>
      <w:r>
        <w:t xml:space="preserve">Working Group members to send any queries regarding the Proposed Solution and the DCC User Guidance document </w:t>
      </w:r>
      <w:r w:rsidR="005D2996">
        <w:t>to the SE</w:t>
      </w:r>
      <w:r w:rsidR="007C507D">
        <w:t>C Change team</w:t>
      </w:r>
      <w:r w:rsidR="005D2996">
        <w:t xml:space="preserve"> inbox. These will then be addressed between SECAS and the DCC, before being brought back to the Working Group with an update.</w:t>
      </w:r>
    </w:p>
    <w:p w14:paraId="236EE12F" w14:textId="415E5C90" w:rsidR="00C74176" w:rsidRDefault="00C74176" w:rsidP="00F85CE1">
      <w:r>
        <w:t>A Working Group member thanked the Proposer and DCC for drafting the DCC User Guidance document and stated that it has provided a positive foundation on which to build on.</w:t>
      </w:r>
    </w:p>
    <w:p w14:paraId="776BDF4E" w14:textId="77777777" w:rsidR="00490947" w:rsidRDefault="00490947" w:rsidP="00F556BC">
      <w:pPr>
        <w:pStyle w:val="Subtitle"/>
      </w:pPr>
      <w:r>
        <w:t>Next Steps</w:t>
      </w:r>
    </w:p>
    <w:p w14:paraId="0062A635" w14:textId="6CCCE1CD" w:rsidR="00490947" w:rsidRDefault="00490947" w:rsidP="00490947">
      <w:pPr>
        <w:rPr>
          <w:szCs w:val="20"/>
        </w:rPr>
      </w:pPr>
      <w:r>
        <w:rPr>
          <w:szCs w:val="20"/>
        </w:rPr>
        <w:t>The following action</w:t>
      </w:r>
      <w:r w:rsidR="000126A7">
        <w:rPr>
          <w:szCs w:val="20"/>
        </w:rPr>
        <w:t>s</w:t>
      </w:r>
      <w:r>
        <w:rPr>
          <w:szCs w:val="20"/>
        </w:rPr>
        <w:t xml:space="preserve"> </w:t>
      </w:r>
      <w:r w:rsidR="009949FA">
        <w:rPr>
          <w:szCs w:val="20"/>
        </w:rPr>
        <w:t xml:space="preserve">were </w:t>
      </w:r>
      <w:r>
        <w:rPr>
          <w:szCs w:val="20"/>
        </w:rPr>
        <w:t>recorded from the meeting:</w:t>
      </w:r>
    </w:p>
    <w:p w14:paraId="79A55309" w14:textId="39D045EB" w:rsidR="000F16D0" w:rsidRDefault="007C507D" w:rsidP="007D2660">
      <w:pPr>
        <w:pStyle w:val="ListParagraph"/>
        <w:numPr>
          <w:ilvl w:val="0"/>
          <w:numId w:val="10"/>
        </w:numPr>
      </w:pPr>
      <w:r>
        <w:t>Working Group members are to email any queries and/or suggestions they may have regarding the Proposed Solution and DCC User Guidance document to the SEC Change team.</w:t>
      </w:r>
    </w:p>
    <w:p w14:paraId="06172B35" w14:textId="4052C72C" w:rsidR="007C507D" w:rsidRPr="003423F3" w:rsidRDefault="007C507D" w:rsidP="007D2660">
      <w:pPr>
        <w:pStyle w:val="ListParagraph"/>
        <w:numPr>
          <w:ilvl w:val="0"/>
          <w:numId w:val="10"/>
        </w:numPr>
      </w:pPr>
      <w:r>
        <w:t>SECAS will work with the DCC to address any queries and/or suggestions before returning to the Working Group.</w:t>
      </w:r>
    </w:p>
    <w:sectPr w:rsidR="007C507D" w:rsidRPr="003423F3" w:rsidSect="00633F6B">
      <w:headerReference w:type="default" r:id="rId10"/>
      <w:footerReference w:type="default" r:id="rId11"/>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7DA1B" w14:textId="77777777" w:rsidR="00FB6C52" w:rsidRDefault="00FB6C52" w:rsidP="004F458B">
      <w:pPr>
        <w:spacing w:after="0" w:line="240" w:lineRule="auto"/>
      </w:pPr>
      <w:r>
        <w:separator/>
      </w:r>
    </w:p>
  </w:endnote>
  <w:endnote w:type="continuationSeparator" w:id="0">
    <w:p w14:paraId="7207AE99" w14:textId="77777777" w:rsidR="00FB6C52" w:rsidRDefault="00FB6C52" w:rsidP="004F4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5"/>
      <w:gridCol w:w="3034"/>
      <w:gridCol w:w="2997"/>
    </w:tblGrid>
    <w:tr w:rsidR="00800AF2" w:rsidRPr="00633F6B" w14:paraId="28F8F56D" w14:textId="77777777" w:rsidTr="00481DA5">
      <w:trPr>
        <w:trHeight w:val="77"/>
      </w:trPr>
      <w:tc>
        <w:tcPr>
          <w:tcW w:w="2995" w:type="dxa"/>
        </w:tcPr>
        <w:p w14:paraId="2C947513" w14:textId="77777777" w:rsidR="00800AF2" w:rsidRPr="00633F6B" w:rsidRDefault="00800AF2" w:rsidP="000D492D">
          <w:pPr>
            <w:pStyle w:val="Footer"/>
            <w:rPr>
              <w:rFonts w:cs="Arial"/>
              <w:color w:val="595959" w:themeColor="text1" w:themeTint="A6"/>
              <w:sz w:val="16"/>
              <w:szCs w:val="16"/>
            </w:rPr>
          </w:pPr>
        </w:p>
      </w:tc>
      <w:tc>
        <w:tcPr>
          <w:tcW w:w="3034" w:type="dxa"/>
          <w:vMerge w:val="restart"/>
          <w:vAlign w:val="center"/>
        </w:tcPr>
        <w:p w14:paraId="565C2727" w14:textId="77777777" w:rsidR="00800AF2" w:rsidRPr="00633F6B" w:rsidRDefault="00B13710" w:rsidP="00B13710">
          <w:pPr>
            <w:pStyle w:val="Footer"/>
            <w:jc w:val="center"/>
            <w:rPr>
              <w:rFonts w:cs="Arial"/>
              <w:color w:val="595959" w:themeColor="text1" w:themeTint="A6"/>
              <w:sz w:val="16"/>
              <w:szCs w:val="16"/>
            </w:rPr>
          </w:pPr>
          <w:r>
            <w:rPr>
              <w:noProof/>
            </w:rPr>
            <w:drawing>
              <wp:inline distT="0" distB="0" distL="0" distR="0" wp14:anchorId="7B478782" wp14:editId="022673ED">
                <wp:extent cx="1170579" cy="680400"/>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579" cy="680400"/>
                        </a:xfrm>
                        <a:prstGeom prst="rect">
                          <a:avLst/>
                        </a:prstGeom>
                        <a:noFill/>
                        <a:ln>
                          <a:noFill/>
                        </a:ln>
                      </pic:spPr>
                    </pic:pic>
                  </a:graphicData>
                </a:graphic>
              </wp:inline>
            </w:drawing>
          </w:r>
        </w:p>
      </w:tc>
      <w:tc>
        <w:tcPr>
          <w:tcW w:w="2997" w:type="dxa"/>
        </w:tcPr>
        <w:p w14:paraId="2856E76C" w14:textId="77777777" w:rsidR="00800AF2" w:rsidRPr="00633F6B" w:rsidRDefault="00800AF2" w:rsidP="00633F6B">
          <w:pPr>
            <w:pStyle w:val="Footer"/>
            <w:jc w:val="right"/>
            <w:rPr>
              <w:rFonts w:cs="Arial"/>
              <w:color w:val="595959" w:themeColor="text1" w:themeTint="A6"/>
              <w:sz w:val="16"/>
              <w:szCs w:val="16"/>
            </w:rPr>
          </w:pPr>
        </w:p>
      </w:tc>
    </w:tr>
    <w:tr w:rsidR="00800AF2" w:rsidRPr="00633F6B" w14:paraId="0F18E0D4" w14:textId="77777777" w:rsidTr="00800AF2">
      <w:trPr>
        <w:trHeight w:val="540"/>
      </w:trPr>
      <w:tc>
        <w:tcPr>
          <w:tcW w:w="2995" w:type="dxa"/>
        </w:tcPr>
        <w:p w14:paraId="71EC0C3E" w14:textId="6E06B0BE" w:rsidR="00800AF2" w:rsidRDefault="00800AF2" w:rsidP="000D492D">
          <w:pPr>
            <w:pStyle w:val="Footer"/>
            <w:rPr>
              <w:rFonts w:cs="Arial"/>
              <w:color w:val="595959" w:themeColor="text1" w:themeTint="A6"/>
              <w:sz w:val="16"/>
              <w:szCs w:val="16"/>
            </w:rPr>
          </w:pPr>
          <w:r>
            <w:rPr>
              <w:rFonts w:cs="Arial"/>
              <w:color w:val="595959" w:themeColor="text1" w:themeTint="A6"/>
              <w:sz w:val="16"/>
              <w:szCs w:val="16"/>
            </w:rPr>
            <w:t>MP</w:t>
          </w:r>
          <w:r w:rsidR="007D2660">
            <w:rPr>
              <w:rFonts w:cs="Arial"/>
              <w:color w:val="595959" w:themeColor="text1" w:themeTint="A6"/>
              <w:sz w:val="16"/>
              <w:szCs w:val="16"/>
            </w:rPr>
            <w:t>1</w:t>
          </w:r>
          <w:r w:rsidR="006B6744">
            <w:rPr>
              <w:rFonts w:cs="Arial"/>
              <w:color w:val="595959" w:themeColor="text1" w:themeTint="A6"/>
              <w:sz w:val="16"/>
              <w:szCs w:val="16"/>
            </w:rPr>
            <w:t>16</w:t>
          </w:r>
          <w:r>
            <w:rPr>
              <w:rFonts w:cs="Arial"/>
              <w:color w:val="595959" w:themeColor="text1" w:themeTint="A6"/>
              <w:sz w:val="16"/>
              <w:szCs w:val="16"/>
            </w:rPr>
            <w:t xml:space="preserve"> </w:t>
          </w:r>
          <w:r w:rsidR="00B13710">
            <w:rPr>
              <w:rFonts w:cs="Arial"/>
              <w:color w:val="595959" w:themeColor="text1" w:themeTint="A6"/>
              <w:sz w:val="16"/>
              <w:szCs w:val="16"/>
            </w:rPr>
            <w:t xml:space="preserve">– </w:t>
          </w:r>
          <w:r w:rsidR="007D2660">
            <w:rPr>
              <w:rFonts w:cs="Arial"/>
              <w:color w:val="595959" w:themeColor="text1" w:themeTint="A6"/>
              <w:sz w:val="16"/>
              <w:szCs w:val="16"/>
            </w:rPr>
            <w:t>May</w:t>
          </w:r>
          <w:r w:rsidR="003B12CA">
            <w:rPr>
              <w:rFonts w:cs="Arial"/>
              <w:color w:val="595959" w:themeColor="text1" w:themeTint="A6"/>
              <w:sz w:val="16"/>
              <w:szCs w:val="16"/>
            </w:rPr>
            <w:t xml:space="preserve"> 2021</w:t>
          </w:r>
          <w:r w:rsidR="00F8182D">
            <w:rPr>
              <w:rFonts w:cs="Arial"/>
              <w:color w:val="595959" w:themeColor="text1" w:themeTint="A6"/>
              <w:sz w:val="16"/>
              <w:szCs w:val="16"/>
            </w:rPr>
            <w:t xml:space="preserve"> </w:t>
          </w:r>
          <w:r>
            <w:rPr>
              <w:rFonts w:cs="Arial"/>
              <w:color w:val="595959" w:themeColor="text1" w:themeTint="A6"/>
              <w:sz w:val="16"/>
              <w:szCs w:val="16"/>
            </w:rPr>
            <w:t xml:space="preserve">Working Group </w:t>
          </w:r>
          <w:r w:rsidR="00B13710">
            <w:rPr>
              <w:rFonts w:cs="Arial"/>
              <w:color w:val="595959" w:themeColor="text1" w:themeTint="A6"/>
              <w:sz w:val="16"/>
              <w:szCs w:val="16"/>
            </w:rPr>
            <w:t>m</w:t>
          </w:r>
          <w:r>
            <w:rPr>
              <w:rFonts w:cs="Arial"/>
              <w:color w:val="595959" w:themeColor="text1" w:themeTint="A6"/>
              <w:sz w:val="16"/>
              <w:szCs w:val="16"/>
            </w:rPr>
            <w:t xml:space="preserve">eeting </w:t>
          </w:r>
          <w:r w:rsidR="00B13710">
            <w:rPr>
              <w:rFonts w:cs="Arial"/>
              <w:color w:val="595959" w:themeColor="text1" w:themeTint="A6"/>
              <w:sz w:val="16"/>
              <w:szCs w:val="16"/>
            </w:rPr>
            <w:t>s</w:t>
          </w:r>
          <w:r>
            <w:rPr>
              <w:rFonts w:cs="Arial"/>
              <w:color w:val="595959" w:themeColor="text1" w:themeTint="A6"/>
              <w:sz w:val="16"/>
              <w:szCs w:val="16"/>
            </w:rPr>
            <w:t>ummary</w:t>
          </w:r>
        </w:p>
      </w:tc>
      <w:tc>
        <w:tcPr>
          <w:tcW w:w="3034" w:type="dxa"/>
          <w:vMerge/>
        </w:tcPr>
        <w:p w14:paraId="079EA8D4" w14:textId="77777777" w:rsidR="00800AF2" w:rsidRDefault="00800AF2" w:rsidP="00633F6B">
          <w:pPr>
            <w:pStyle w:val="Footer"/>
            <w:jc w:val="center"/>
            <w:rPr>
              <w:noProof/>
              <w:lang w:eastAsia="en-GB"/>
            </w:rPr>
          </w:pPr>
        </w:p>
      </w:tc>
      <w:tc>
        <w:tcPr>
          <w:tcW w:w="2997" w:type="dxa"/>
        </w:tcPr>
        <w:p w14:paraId="6CBF7BB2" w14:textId="77777777" w:rsidR="00800AF2" w:rsidRDefault="00800AF2" w:rsidP="00800AF2">
          <w:pPr>
            <w:pStyle w:val="Footer"/>
            <w:jc w:val="right"/>
            <w:rPr>
              <w:rFonts w:cs="Arial"/>
              <w:color w:val="595959" w:themeColor="text1" w:themeTint="A6"/>
              <w:sz w:val="16"/>
              <w:szCs w:val="16"/>
            </w:rPr>
          </w:pPr>
          <w:r w:rsidRPr="00633F6B">
            <w:rPr>
              <w:rFonts w:cs="Arial"/>
              <w:color w:val="595959" w:themeColor="text1" w:themeTint="A6"/>
              <w:sz w:val="16"/>
              <w:szCs w:val="16"/>
            </w:rPr>
            <w:t xml:space="preserve">Page </w:t>
          </w:r>
          <w:r w:rsidRPr="00633F6B">
            <w:rPr>
              <w:rFonts w:cs="Arial"/>
              <w:color w:val="595959" w:themeColor="text1" w:themeTint="A6"/>
              <w:sz w:val="16"/>
              <w:szCs w:val="16"/>
            </w:rPr>
            <w:fldChar w:fldCharType="begin"/>
          </w:r>
          <w:r w:rsidRPr="00633F6B">
            <w:rPr>
              <w:rFonts w:cs="Arial"/>
              <w:color w:val="595959" w:themeColor="text1" w:themeTint="A6"/>
              <w:sz w:val="16"/>
              <w:szCs w:val="16"/>
            </w:rPr>
            <w:instrText xml:space="preserve"> PAGE </w:instrText>
          </w:r>
          <w:r w:rsidRPr="00633F6B">
            <w:rPr>
              <w:rFonts w:cs="Arial"/>
              <w:color w:val="595959" w:themeColor="text1" w:themeTint="A6"/>
              <w:sz w:val="16"/>
              <w:szCs w:val="16"/>
            </w:rPr>
            <w:fldChar w:fldCharType="separate"/>
          </w:r>
          <w:r>
            <w:rPr>
              <w:rFonts w:cs="Arial"/>
              <w:color w:val="595959" w:themeColor="text1" w:themeTint="A6"/>
              <w:sz w:val="16"/>
              <w:szCs w:val="16"/>
            </w:rPr>
            <w:t>1</w:t>
          </w:r>
          <w:r w:rsidRPr="00633F6B">
            <w:rPr>
              <w:rFonts w:cs="Arial"/>
              <w:color w:val="595959" w:themeColor="text1" w:themeTint="A6"/>
              <w:sz w:val="16"/>
              <w:szCs w:val="16"/>
            </w:rPr>
            <w:fldChar w:fldCharType="end"/>
          </w:r>
          <w:r w:rsidRPr="00633F6B">
            <w:rPr>
              <w:rFonts w:cs="Arial"/>
              <w:color w:val="595959" w:themeColor="text1" w:themeTint="A6"/>
              <w:sz w:val="16"/>
              <w:szCs w:val="16"/>
            </w:rPr>
            <w:t xml:space="preserve"> of </w:t>
          </w:r>
          <w:r w:rsidRPr="00633F6B">
            <w:rPr>
              <w:rFonts w:cs="Arial"/>
              <w:color w:val="595959" w:themeColor="text1" w:themeTint="A6"/>
              <w:sz w:val="16"/>
              <w:szCs w:val="16"/>
            </w:rPr>
            <w:fldChar w:fldCharType="begin"/>
          </w:r>
          <w:r w:rsidRPr="00633F6B">
            <w:rPr>
              <w:rFonts w:cs="Arial"/>
              <w:color w:val="595959" w:themeColor="text1" w:themeTint="A6"/>
              <w:sz w:val="16"/>
              <w:szCs w:val="16"/>
            </w:rPr>
            <w:instrText xml:space="preserve"> NUMPAGES  </w:instrText>
          </w:r>
          <w:r w:rsidRPr="00633F6B">
            <w:rPr>
              <w:rFonts w:cs="Arial"/>
              <w:color w:val="595959" w:themeColor="text1" w:themeTint="A6"/>
              <w:sz w:val="16"/>
              <w:szCs w:val="16"/>
            </w:rPr>
            <w:fldChar w:fldCharType="separate"/>
          </w:r>
          <w:r>
            <w:rPr>
              <w:rFonts w:cs="Arial"/>
              <w:color w:val="595959" w:themeColor="text1" w:themeTint="A6"/>
              <w:sz w:val="16"/>
              <w:szCs w:val="16"/>
            </w:rPr>
            <w:t>1</w:t>
          </w:r>
          <w:r w:rsidRPr="00633F6B">
            <w:rPr>
              <w:rFonts w:cs="Arial"/>
              <w:color w:val="595959" w:themeColor="text1" w:themeTint="A6"/>
              <w:sz w:val="16"/>
              <w:szCs w:val="16"/>
            </w:rPr>
            <w:fldChar w:fldCharType="end"/>
          </w:r>
        </w:p>
        <w:p w14:paraId="08F93BBA" w14:textId="77777777" w:rsidR="00800AF2" w:rsidRDefault="00800AF2" w:rsidP="00800AF2">
          <w:pPr>
            <w:pStyle w:val="Footer"/>
            <w:jc w:val="right"/>
            <w:rPr>
              <w:rFonts w:cs="Arial"/>
              <w:color w:val="595959" w:themeColor="text1" w:themeTint="A6"/>
              <w:sz w:val="16"/>
              <w:szCs w:val="16"/>
            </w:rPr>
          </w:pPr>
        </w:p>
        <w:p w14:paraId="5C74FCF3" w14:textId="77777777" w:rsidR="00800AF2" w:rsidRPr="00633F6B" w:rsidRDefault="00800AF2" w:rsidP="00800AF2">
          <w:pPr>
            <w:pStyle w:val="Footer"/>
            <w:jc w:val="right"/>
            <w:rPr>
              <w:rFonts w:cs="Arial"/>
              <w:color w:val="595959" w:themeColor="text1" w:themeTint="A6"/>
              <w:sz w:val="16"/>
              <w:szCs w:val="16"/>
            </w:rPr>
          </w:pPr>
          <w:r>
            <w:rPr>
              <w:rFonts w:cs="Arial"/>
              <w:b/>
              <w:color w:val="595959" w:themeColor="text1" w:themeTint="A6"/>
              <w:sz w:val="16"/>
              <w:szCs w:val="16"/>
            </w:rPr>
            <w:t xml:space="preserve">This document has a Classification of </w:t>
          </w:r>
          <w:r w:rsidRPr="003423F3">
            <w:rPr>
              <w:rFonts w:cs="Arial"/>
              <w:b/>
              <w:color w:val="auto"/>
              <w:sz w:val="16"/>
              <w:szCs w:val="16"/>
            </w:rPr>
            <w:t>White</w:t>
          </w:r>
        </w:p>
      </w:tc>
    </w:tr>
  </w:tbl>
  <w:p w14:paraId="4875E3BB" w14:textId="77777777" w:rsidR="00DB0807" w:rsidRPr="00633F6B" w:rsidRDefault="00DB0807" w:rsidP="00633F6B">
    <w:pPr>
      <w:pStyle w:val="Footer"/>
      <w:spacing w:after="120"/>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B9A83" w14:textId="77777777" w:rsidR="00FB6C52" w:rsidRDefault="00FB6C52" w:rsidP="004F458B">
      <w:pPr>
        <w:spacing w:after="0" w:line="240" w:lineRule="auto"/>
      </w:pPr>
      <w:r>
        <w:separator/>
      </w:r>
    </w:p>
  </w:footnote>
  <w:footnote w:type="continuationSeparator" w:id="0">
    <w:p w14:paraId="072ADF65" w14:textId="77777777" w:rsidR="00FB6C52" w:rsidRDefault="00FB6C52" w:rsidP="004F45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39519" w14:textId="77777777" w:rsidR="003E558E" w:rsidRDefault="003E558E" w:rsidP="003E558E">
    <w:pPr>
      <w:pStyle w:val="Header"/>
      <w:jc w:val="right"/>
    </w:pPr>
    <w:r w:rsidRPr="003E558E">
      <w:rPr>
        <w:noProof/>
        <w:lang w:eastAsia="en-GB"/>
      </w:rPr>
      <w:drawing>
        <wp:inline distT="0" distB="0" distL="0" distR="0" wp14:anchorId="182DE48E" wp14:editId="33A5D0C9">
          <wp:extent cx="1457325" cy="1047750"/>
          <wp:effectExtent l="19050" t="0" r="9525" b="0"/>
          <wp:docPr id="4" name="Picture 4" descr="C:\Users\catherine.cousins\AppData\Local\Microsoft\Windows\Temporary Internet Files\Content.Outlook\5NC1S6OP\SEC-Logo-without-diamo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therine.cousins\AppData\Local\Microsoft\Windows\Temporary Internet Files\Content.Outlook\5NC1S6OP\SEC-Logo-without-diamonds.jpg"/>
                  <pic:cNvPicPr>
                    <a:picLocks noChangeAspect="1" noChangeArrowheads="1"/>
                  </pic:cNvPicPr>
                </pic:nvPicPr>
                <pic:blipFill>
                  <a:blip r:embed="rId1"/>
                  <a:srcRect/>
                  <a:stretch>
                    <a:fillRect/>
                  </a:stretch>
                </pic:blipFill>
                <pic:spPr bwMode="auto">
                  <a:xfrm>
                    <a:off x="0" y="0"/>
                    <a:ext cx="1457325" cy="10477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11FE8"/>
    <w:multiLevelType w:val="multilevel"/>
    <w:tmpl w:val="82382EC6"/>
    <w:styleLink w:val="Subtitles"/>
    <w:lvl w:ilvl="0">
      <w:start w:val="1"/>
      <w:numFmt w:val="decimal"/>
      <w:lvlText w:val="%1."/>
      <w:lvlJc w:val="left"/>
      <w:pPr>
        <w:ind w:left="360" w:hanging="360"/>
      </w:pPr>
      <w:rPr>
        <w:rFonts w:hint="default"/>
        <w:b/>
        <w:bCs w:val="0"/>
        <w:i w:val="0"/>
        <w:iCs w:val="0"/>
        <w:caps w:val="0"/>
        <w:smallCaps w:val="0"/>
        <w:strike w:val="0"/>
        <w:dstrike w:val="0"/>
        <w:vanish w:val="0"/>
        <w:kern w:val="0"/>
        <w:position w:val="0"/>
        <w:sz w:val="24"/>
        <w:u w:val="none"/>
        <w:vertAlign w:val="baseline"/>
        <w:em w:val="none"/>
      </w:rPr>
    </w:lvl>
    <w:lvl w:ilvl="1">
      <w:start w:val="1"/>
      <w:numFmt w:val="decimal"/>
      <w:lvlText w:val="%2.%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D61751B"/>
    <w:multiLevelType w:val="hybridMultilevel"/>
    <w:tmpl w:val="D676EAF2"/>
    <w:lvl w:ilvl="0" w:tplc="101C79B2">
      <w:start w:val="1"/>
      <w:numFmt w:val="decimal"/>
      <w:pStyle w:val="Heading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020731"/>
    <w:multiLevelType w:val="hybridMultilevel"/>
    <w:tmpl w:val="735AA702"/>
    <w:lvl w:ilvl="0" w:tplc="16BA518A">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972FEA"/>
    <w:multiLevelType w:val="hybridMultilevel"/>
    <w:tmpl w:val="CDA026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D64DFF"/>
    <w:multiLevelType w:val="hybridMultilevel"/>
    <w:tmpl w:val="EF68074A"/>
    <w:lvl w:ilvl="0" w:tplc="42529A78">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A835BD"/>
    <w:multiLevelType w:val="hybridMultilevel"/>
    <w:tmpl w:val="B3DC7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F02984"/>
    <w:multiLevelType w:val="multilevel"/>
    <w:tmpl w:val="CCAEB4D6"/>
    <w:styleLink w:val="SECPanelPaperHeadings"/>
    <w:lvl w:ilvl="0">
      <w:start w:val="1"/>
      <w:numFmt w:val="decimal"/>
      <w:lvlText w:val="%1."/>
      <w:lvlJc w:val="left"/>
      <w:pPr>
        <w:ind w:left="709" w:hanging="709"/>
      </w:pPr>
      <w:rPr>
        <w:rFonts w:ascii="Arial" w:hAnsi="Arial" w:hint="default"/>
        <w:b/>
        <w:bCs w:val="0"/>
        <w:i w:val="0"/>
        <w:iCs w:val="0"/>
        <w:caps w:val="0"/>
        <w:smallCaps w:val="0"/>
        <w:strike w:val="0"/>
        <w:dstrike w:val="0"/>
        <w:vanish w:val="0"/>
        <w:kern w:val="0"/>
        <w:position w:val="0"/>
        <w:sz w:val="24"/>
        <w:u w:val="none"/>
        <w:vertAlign w:val="baseline"/>
        <w:em w:val="none"/>
      </w:rPr>
    </w:lvl>
    <w:lvl w:ilvl="1">
      <w:start w:val="1"/>
      <w:numFmt w:val="decimal"/>
      <w:isLgl/>
      <w:lvlText w:val="%1.%2"/>
      <w:lvlJc w:val="left"/>
      <w:pPr>
        <w:ind w:left="709" w:hanging="709"/>
      </w:pPr>
      <w:rPr>
        <w:rFonts w:ascii="Arial" w:hAnsi="Arial" w:hint="default"/>
        <w:b/>
        <w:sz w:val="20"/>
      </w:rPr>
    </w:lvl>
    <w:lvl w:ilvl="2">
      <w:start w:val="1"/>
      <w:numFmt w:val="decimal"/>
      <w:isLgl/>
      <w:lvlText w:val="%1.%2.%3"/>
      <w:lvlJc w:val="left"/>
      <w:pPr>
        <w:ind w:left="709" w:hanging="709"/>
      </w:pPr>
      <w:rPr>
        <w:rFonts w:hint="default"/>
      </w:rPr>
    </w:lvl>
    <w:lvl w:ilvl="3">
      <w:start w:val="1"/>
      <w:numFmt w:val="decimal"/>
      <w:isLgl/>
      <w:lvlText w:val="%1.%2.%3.%4"/>
      <w:lvlJc w:val="left"/>
      <w:pPr>
        <w:ind w:left="709" w:hanging="709"/>
      </w:pPr>
      <w:rPr>
        <w:rFonts w:hint="default"/>
      </w:rPr>
    </w:lvl>
    <w:lvl w:ilvl="4">
      <w:start w:val="1"/>
      <w:numFmt w:val="decimal"/>
      <w:isLgl/>
      <w:lvlText w:val="%1.%2.%3.%4.%5"/>
      <w:lvlJc w:val="left"/>
      <w:pPr>
        <w:ind w:left="709" w:hanging="709"/>
      </w:pPr>
      <w:rPr>
        <w:rFonts w:hint="default"/>
      </w:rPr>
    </w:lvl>
    <w:lvl w:ilvl="5">
      <w:start w:val="1"/>
      <w:numFmt w:val="decimal"/>
      <w:isLgl/>
      <w:lvlText w:val="%1.%2.%3.%4.%5.%6"/>
      <w:lvlJc w:val="left"/>
      <w:pPr>
        <w:ind w:left="709" w:hanging="709"/>
      </w:pPr>
      <w:rPr>
        <w:rFonts w:hint="default"/>
      </w:rPr>
    </w:lvl>
    <w:lvl w:ilvl="6">
      <w:start w:val="1"/>
      <w:numFmt w:val="decimal"/>
      <w:isLgl/>
      <w:lvlText w:val="%1.%2.%3.%4.%5.%6.%7"/>
      <w:lvlJc w:val="left"/>
      <w:pPr>
        <w:ind w:left="709" w:hanging="709"/>
      </w:pPr>
      <w:rPr>
        <w:rFonts w:hint="default"/>
      </w:rPr>
    </w:lvl>
    <w:lvl w:ilvl="7">
      <w:start w:val="1"/>
      <w:numFmt w:val="decimal"/>
      <w:isLgl/>
      <w:lvlText w:val="%1.%2.%3.%4.%5.%6.%7.%8"/>
      <w:lvlJc w:val="left"/>
      <w:pPr>
        <w:ind w:left="709" w:hanging="709"/>
      </w:pPr>
      <w:rPr>
        <w:rFonts w:hint="default"/>
      </w:rPr>
    </w:lvl>
    <w:lvl w:ilvl="8">
      <w:start w:val="1"/>
      <w:numFmt w:val="decimal"/>
      <w:isLgl/>
      <w:lvlText w:val="%1.%2.%3.%4.%5.%6.%7.%8.%9"/>
      <w:lvlJc w:val="left"/>
      <w:pPr>
        <w:ind w:left="709" w:hanging="709"/>
      </w:pPr>
      <w:rPr>
        <w:rFonts w:hint="default"/>
      </w:rPr>
    </w:lvl>
  </w:abstractNum>
  <w:abstractNum w:abstractNumId="7" w15:restartNumberingAfterBreak="0">
    <w:nsid w:val="7F4A7C7A"/>
    <w:multiLevelType w:val="hybridMultilevel"/>
    <w:tmpl w:val="6B422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0"/>
  </w:num>
  <w:num w:numId="6">
    <w:abstractNumId w:val="5"/>
  </w:num>
  <w:num w:numId="7">
    <w:abstractNumId w:val="2"/>
  </w:num>
  <w:num w:numId="8">
    <w:abstractNumId w:val="2"/>
  </w:num>
  <w:num w:numId="9">
    <w:abstractNumId w:val="3"/>
  </w:num>
  <w:num w:numId="1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929"/>
    <w:rsid w:val="000055AC"/>
    <w:rsid w:val="000059A4"/>
    <w:rsid w:val="000126A7"/>
    <w:rsid w:val="00017658"/>
    <w:rsid w:val="00020BA4"/>
    <w:rsid w:val="000258B3"/>
    <w:rsid w:val="00040EF3"/>
    <w:rsid w:val="00055297"/>
    <w:rsid w:val="00057CF0"/>
    <w:rsid w:val="000622C0"/>
    <w:rsid w:val="00067AFA"/>
    <w:rsid w:val="00075828"/>
    <w:rsid w:val="00091612"/>
    <w:rsid w:val="000A3363"/>
    <w:rsid w:val="000B05C0"/>
    <w:rsid w:val="000B30A4"/>
    <w:rsid w:val="000B4FAB"/>
    <w:rsid w:val="000C423C"/>
    <w:rsid w:val="000C49C1"/>
    <w:rsid w:val="000C5748"/>
    <w:rsid w:val="000D0828"/>
    <w:rsid w:val="000D492D"/>
    <w:rsid w:val="000D7BCC"/>
    <w:rsid w:val="000E1170"/>
    <w:rsid w:val="000E330B"/>
    <w:rsid w:val="000E661D"/>
    <w:rsid w:val="000E6A3C"/>
    <w:rsid w:val="000E6DD9"/>
    <w:rsid w:val="000E7FAF"/>
    <w:rsid w:val="000F01A9"/>
    <w:rsid w:val="000F16D0"/>
    <w:rsid w:val="000F3436"/>
    <w:rsid w:val="000F4376"/>
    <w:rsid w:val="000F4ABE"/>
    <w:rsid w:val="000F75DB"/>
    <w:rsid w:val="00102237"/>
    <w:rsid w:val="0010448B"/>
    <w:rsid w:val="00152E20"/>
    <w:rsid w:val="001530DA"/>
    <w:rsid w:val="0015743D"/>
    <w:rsid w:val="001636D8"/>
    <w:rsid w:val="00173D84"/>
    <w:rsid w:val="001855DA"/>
    <w:rsid w:val="00192FAC"/>
    <w:rsid w:val="00193AA5"/>
    <w:rsid w:val="00196A93"/>
    <w:rsid w:val="001C32E8"/>
    <w:rsid w:val="001C63F9"/>
    <w:rsid w:val="001E3A8A"/>
    <w:rsid w:val="001E4249"/>
    <w:rsid w:val="001E5C72"/>
    <w:rsid w:val="00201AF4"/>
    <w:rsid w:val="00216A51"/>
    <w:rsid w:val="00220AB0"/>
    <w:rsid w:val="00221A27"/>
    <w:rsid w:val="002357F7"/>
    <w:rsid w:val="00240295"/>
    <w:rsid w:val="0024177C"/>
    <w:rsid w:val="00251BB8"/>
    <w:rsid w:val="00251E29"/>
    <w:rsid w:val="00255929"/>
    <w:rsid w:val="00260DC6"/>
    <w:rsid w:val="002636BA"/>
    <w:rsid w:val="0026436B"/>
    <w:rsid w:val="00267F7B"/>
    <w:rsid w:val="00283D8C"/>
    <w:rsid w:val="002925A9"/>
    <w:rsid w:val="002A0870"/>
    <w:rsid w:val="002A46ED"/>
    <w:rsid w:val="002A76CA"/>
    <w:rsid w:val="002C12CA"/>
    <w:rsid w:val="002E0EC9"/>
    <w:rsid w:val="002E13CE"/>
    <w:rsid w:val="002F1749"/>
    <w:rsid w:val="002F2338"/>
    <w:rsid w:val="002F39BD"/>
    <w:rsid w:val="003025D8"/>
    <w:rsid w:val="003025E2"/>
    <w:rsid w:val="003029F3"/>
    <w:rsid w:val="00306C4B"/>
    <w:rsid w:val="003103AF"/>
    <w:rsid w:val="00326FB7"/>
    <w:rsid w:val="00331B41"/>
    <w:rsid w:val="00332631"/>
    <w:rsid w:val="003423F3"/>
    <w:rsid w:val="003425F2"/>
    <w:rsid w:val="00346E2F"/>
    <w:rsid w:val="00347F6A"/>
    <w:rsid w:val="00352BD8"/>
    <w:rsid w:val="00387635"/>
    <w:rsid w:val="00391A04"/>
    <w:rsid w:val="00391B14"/>
    <w:rsid w:val="003935E6"/>
    <w:rsid w:val="00397755"/>
    <w:rsid w:val="003A556D"/>
    <w:rsid w:val="003B12CA"/>
    <w:rsid w:val="003B3657"/>
    <w:rsid w:val="003C08F7"/>
    <w:rsid w:val="003C1DF0"/>
    <w:rsid w:val="003C280A"/>
    <w:rsid w:val="003D1E87"/>
    <w:rsid w:val="003D2EA8"/>
    <w:rsid w:val="003D4888"/>
    <w:rsid w:val="003D4B63"/>
    <w:rsid w:val="003E4684"/>
    <w:rsid w:val="003E558E"/>
    <w:rsid w:val="00404C8C"/>
    <w:rsid w:val="00405167"/>
    <w:rsid w:val="004119F1"/>
    <w:rsid w:val="004170C6"/>
    <w:rsid w:val="00420A00"/>
    <w:rsid w:val="00422CAF"/>
    <w:rsid w:val="00423EC3"/>
    <w:rsid w:val="004274EE"/>
    <w:rsid w:val="00431C56"/>
    <w:rsid w:val="0043667E"/>
    <w:rsid w:val="00441728"/>
    <w:rsid w:val="00441D82"/>
    <w:rsid w:val="00463094"/>
    <w:rsid w:val="0046501B"/>
    <w:rsid w:val="00471CC6"/>
    <w:rsid w:val="00481DA5"/>
    <w:rsid w:val="00485DC4"/>
    <w:rsid w:val="0048680F"/>
    <w:rsid w:val="00490947"/>
    <w:rsid w:val="004A3385"/>
    <w:rsid w:val="004A3E9C"/>
    <w:rsid w:val="004D00F1"/>
    <w:rsid w:val="004D380A"/>
    <w:rsid w:val="004E1DB7"/>
    <w:rsid w:val="004F458B"/>
    <w:rsid w:val="00505898"/>
    <w:rsid w:val="00507273"/>
    <w:rsid w:val="005148C1"/>
    <w:rsid w:val="00516EC5"/>
    <w:rsid w:val="0052765B"/>
    <w:rsid w:val="00530099"/>
    <w:rsid w:val="005334EF"/>
    <w:rsid w:val="00551CC4"/>
    <w:rsid w:val="00552455"/>
    <w:rsid w:val="005613A7"/>
    <w:rsid w:val="00564EBA"/>
    <w:rsid w:val="00571E51"/>
    <w:rsid w:val="005776F4"/>
    <w:rsid w:val="005778E5"/>
    <w:rsid w:val="00581A4B"/>
    <w:rsid w:val="00582377"/>
    <w:rsid w:val="00583EC5"/>
    <w:rsid w:val="00585F21"/>
    <w:rsid w:val="0059197A"/>
    <w:rsid w:val="00592625"/>
    <w:rsid w:val="00594818"/>
    <w:rsid w:val="005C0EDF"/>
    <w:rsid w:val="005C5499"/>
    <w:rsid w:val="005D2996"/>
    <w:rsid w:val="005E0302"/>
    <w:rsid w:val="005F62BE"/>
    <w:rsid w:val="005F65BB"/>
    <w:rsid w:val="0060781C"/>
    <w:rsid w:val="00620DCD"/>
    <w:rsid w:val="006240A4"/>
    <w:rsid w:val="006256DB"/>
    <w:rsid w:val="006330DD"/>
    <w:rsid w:val="00633F6B"/>
    <w:rsid w:val="0064797F"/>
    <w:rsid w:val="006546FD"/>
    <w:rsid w:val="0065625F"/>
    <w:rsid w:val="00661BA9"/>
    <w:rsid w:val="006654F1"/>
    <w:rsid w:val="0068082B"/>
    <w:rsid w:val="00682B00"/>
    <w:rsid w:val="0069226B"/>
    <w:rsid w:val="006B0D39"/>
    <w:rsid w:val="006B1076"/>
    <w:rsid w:val="006B1B0C"/>
    <w:rsid w:val="006B6744"/>
    <w:rsid w:val="006C4D15"/>
    <w:rsid w:val="006C637C"/>
    <w:rsid w:val="006C64EA"/>
    <w:rsid w:val="006D1654"/>
    <w:rsid w:val="006D2593"/>
    <w:rsid w:val="006D37C5"/>
    <w:rsid w:val="006D3E3A"/>
    <w:rsid w:val="006E5908"/>
    <w:rsid w:val="00712849"/>
    <w:rsid w:val="00713251"/>
    <w:rsid w:val="00725163"/>
    <w:rsid w:val="00730BA3"/>
    <w:rsid w:val="0074297A"/>
    <w:rsid w:val="00744B12"/>
    <w:rsid w:val="00745CA5"/>
    <w:rsid w:val="00747040"/>
    <w:rsid w:val="00751FA0"/>
    <w:rsid w:val="00761B8A"/>
    <w:rsid w:val="00783DBF"/>
    <w:rsid w:val="00790B1E"/>
    <w:rsid w:val="00791799"/>
    <w:rsid w:val="00793FD4"/>
    <w:rsid w:val="007943C4"/>
    <w:rsid w:val="007A26CE"/>
    <w:rsid w:val="007A3FAB"/>
    <w:rsid w:val="007A4826"/>
    <w:rsid w:val="007A5CA3"/>
    <w:rsid w:val="007A6F99"/>
    <w:rsid w:val="007B44E5"/>
    <w:rsid w:val="007B4ADF"/>
    <w:rsid w:val="007B5EE6"/>
    <w:rsid w:val="007B6A3F"/>
    <w:rsid w:val="007B6BEF"/>
    <w:rsid w:val="007C1F4D"/>
    <w:rsid w:val="007C507D"/>
    <w:rsid w:val="007D2660"/>
    <w:rsid w:val="007E35FF"/>
    <w:rsid w:val="007E58E4"/>
    <w:rsid w:val="007E6ECB"/>
    <w:rsid w:val="007F66F1"/>
    <w:rsid w:val="00800AF2"/>
    <w:rsid w:val="00801794"/>
    <w:rsid w:val="00801B5E"/>
    <w:rsid w:val="008022BD"/>
    <w:rsid w:val="00810F76"/>
    <w:rsid w:val="00811994"/>
    <w:rsid w:val="0081354D"/>
    <w:rsid w:val="00834C04"/>
    <w:rsid w:val="00853361"/>
    <w:rsid w:val="00853C8B"/>
    <w:rsid w:val="00855057"/>
    <w:rsid w:val="0086220C"/>
    <w:rsid w:val="00862303"/>
    <w:rsid w:val="008738E4"/>
    <w:rsid w:val="008811D5"/>
    <w:rsid w:val="00881CA8"/>
    <w:rsid w:val="0089731C"/>
    <w:rsid w:val="008A01C2"/>
    <w:rsid w:val="008A102C"/>
    <w:rsid w:val="008A3C82"/>
    <w:rsid w:val="008C0612"/>
    <w:rsid w:val="008C7A8F"/>
    <w:rsid w:val="008F317C"/>
    <w:rsid w:val="00901A0A"/>
    <w:rsid w:val="00914ED3"/>
    <w:rsid w:val="009153F2"/>
    <w:rsid w:val="00916999"/>
    <w:rsid w:val="00917320"/>
    <w:rsid w:val="009301EC"/>
    <w:rsid w:val="009361BA"/>
    <w:rsid w:val="00957927"/>
    <w:rsid w:val="00962B86"/>
    <w:rsid w:val="00964CD2"/>
    <w:rsid w:val="00966F93"/>
    <w:rsid w:val="009672F9"/>
    <w:rsid w:val="00971D14"/>
    <w:rsid w:val="0098133A"/>
    <w:rsid w:val="009908DB"/>
    <w:rsid w:val="00991C2D"/>
    <w:rsid w:val="009931E7"/>
    <w:rsid w:val="009949FA"/>
    <w:rsid w:val="009A4CB5"/>
    <w:rsid w:val="009A7772"/>
    <w:rsid w:val="009B4841"/>
    <w:rsid w:val="009B4C21"/>
    <w:rsid w:val="009C2393"/>
    <w:rsid w:val="009C5BAE"/>
    <w:rsid w:val="009C6ABA"/>
    <w:rsid w:val="009D04BA"/>
    <w:rsid w:val="009D56D8"/>
    <w:rsid w:val="009E14DA"/>
    <w:rsid w:val="009E4D59"/>
    <w:rsid w:val="009F269D"/>
    <w:rsid w:val="00A001CC"/>
    <w:rsid w:val="00A07DC7"/>
    <w:rsid w:val="00A1169C"/>
    <w:rsid w:val="00A16AF3"/>
    <w:rsid w:val="00A34E33"/>
    <w:rsid w:val="00A42421"/>
    <w:rsid w:val="00A427AE"/>
    <w:rsid w:val="00A441DE"/>
    <w:rsid w:val="00A50332"/>
    <w:rsid w:val="00A5165B"/>
    <w:rsid w:val="00A54644"/>
    <w:rsid w:val="00A6390E"/>
    <w:rsid w:val="00A72808"/>
    <w:rsid w:val="00A75FD0"/>
    <w:rsid w:val="00A81107"/>
    <w:rsid w:val="00A858CC"/>
    <w:rsid w:val="00A85BC8"/>
    <w:rsid w:val="00A90A90"/>
    <w:rsid w:val="00A94F15"/>
    <w:rsid w:val="00A95933"/>
    <w:rsid w:val="00AA11BF"/>
    <w:rsid w:val="00AA6424"/>
    <w:rsid w:val="00AC1347"/>
    <w:rsid w:val="00AC241A"/>
    <w:rsid w:val="00AD0B74"/>
    <w:rsid w:val="00AD70B0"/>
    <w:rsid w:val="00AE0533"/>
    <w:rsid w:val="00AF1834"/>
    <w:rsid w:val="00AF7F93"/>
    <w:rsid w:val="00B02B31"/>
    <w:rsid w:val="00B1202F"/>
    <w:rsid w:val="00B12F88"/>
    <w:rsid w:val="00B13710"/>
    <w:rsid w:val="00B13A0A"/>
    <w:rsid w:val="00B15328"/>
    <w:rsid w:val="00B17F4C"/>
    <w:rsid w:val="00B242DE"/>
    <w:rsid w:val="00B40A97"/>
    <w:rsid w:val="00B411F9"/>
    <w:rsid w:val="00B41DF9"/>
    <w:rsid w:val="00B50BDD"/>
    <w:rsid w:val="00B5188D"/>
    <w:rsid w:val="00B5592D"/>
    <w:rsid w:val="00B80B19"/>
    <w:rsid w:val="00B943CC"/>
    <w:rsid w:val="00BA2646"/>
    <w:rsid w:val="00BA3AD6"/>
    <w:rsid w:val="00BA7A76"/>
    <w:rsid w:val="00BB1D73"/>
    <w:rsid w:val="00BC1B98"/>
    <w:rsid w:val="00BC2A21"/>
    <w:rsid w:val="00BD1C03"/>
    <w:rsid w:val="00BD2ADD"/>
    <w:rsid w:val="00BD70A6"/>
    <w:rsid w:val="00BD742D"/>
    <w:rsid w:val="00BE1829"/>
    <w:rsid w:val="00BE43A3"/>
    <w:rsid w:val="00BF6FEE"/>
    <w:rsid w:val="00C257A7"/>
    <w:rsid w:val="00C33297"/>
    <w:rsid w:val="00C3392A"/>
    <w:rsid w:val="00C401C6"/>
    <w:rsid w:val="00C420BA"/>
    <w:rsid w:val="00C43704"/>
    <w:rsid w:val="00C454EA"/>
    <w:rsid w:val="00C46819"/>
    <w:rsid w:val="00C46C5F"/>
    <w:rsid w:val="00C509B8"/>
    <w:rsid w:val="00C50BB9"/>
    <w:rsid w:val="00C74176"/>
    <w:rsid w:val="00C86B22"/>
    <w:rsid w:val="00C92D9F"/>
    <w:rsid w:val="00CA1D8C"/>
    <w:rsid w:val="00CB77C9"/>
    <w:rsid w:val="00CC5FB4"/>
    <w:rsid w:val="00CD7753"/>
    <w:rsid w:val="00CE018A"/>
    <w:rsid w:val="00CE691C"/>
    <w:rsid w:val="00CF3BEF"/>
    <w:rsid w:val="00CF6AA5"/>
    <w:rsid w:val="00D15D55"/>
    <w:rsid w:val="00D160AF"/>
    <w:rsid w:val="00D27E31"/>
    <w:rsid w:val="00D31291"/>
    <w:rsid w:val="00D356AD"/>
    <w:rsid w:val="00D40179"/>
    <w:rsid w:val="00D423AF"/>
    <w:rsid w:val="00D47D4E"/>
    <w:rsid w:val="00D506A9"/>
    <w:rsid w:val="00D63701"/>
    <w:rsid w:val="00D65365"/>
    <w:rsid w:val="00D70ECB"/>
    <w:rsid w:val="00D826AC"/>
    <w:rsid w:val="00D9647C"/>
    <w:rsid w:val="00DA1B1A"/>
    <w:rsid w:val="00DA225E"/>
    <w:rsid w:val="00DB079D"/>
    <w:rsid w:val="00DB0807"/>
    <w:rsid w:val="00DB4CAE"/>
    <w:rsid w:val="00DB500E"/>
    <w:rsid w:val="00DC1474"/>
    <w:rsid w:val="00DC4326"/>
    <w:rsid w:val="00DD1A40"/>
    <w:rsid w:val="00DD7189"/>
    <w:rsid w:val="00DE1CF2"/>
    <w:rsid w:val="00DE3454"/>
    <w:rsid w:val="00DE5C32"/>
    <w:rsid w:val="00DF7D1A"/>
    <w:rsid w:val="00E052DA"/>
    <w:rsid w:val="00E10640"/>
    <w:rsid w:val="00E1288E"/>
    <w:rsid w:val="00E152A7"/>
    <w:rsid w:val="00E1536A"/>
    <w:rsid w:val="00E24571"/>
    <w:rsid w:val="00E3126E"/>
    <w:rsid w:val="00E31D79"/>
    <w:rsid w:val="00E35AA8"/>
    <w:rsid w:val="00E374F7"/>
    <w:rsid w:val="00E42FFB"/>
    <w:rsid w:val="00E4508B"/>
    <w:rsid w:val="00E454BA"/>
    <w:rsid w:val="00E47F32"/>
    <w:rsid w:val="00E50945"/>
    <w:rsid w:val="00E5727E"/>
    <w:rsid w:val="00E62969"/>
    <w:rsid w:val="00E6727F"/>
    <w:rsid w:val="00E77C26"/>
    <w:rsid w:val="00E84A70"/>
    <w:rsid w:val="00E84C1D"/>
    <w:rsid w:val="00E91C2A"/>
    <w:rsid w:val="00E9733A"/>
    <w:rsid w:val="00EA6D48"/>
    <w:rsid w:val="00EB17D8"/>
    <w:rsid w:val="00EB767D"/>
    <w:rsid w:val="00EC5C31"/>
    <w:rsid w:val="00ED0E2E"/>
    <w:rsid w:val="00ED15FD"/>
    <w:rsid w:val="00ED64C8"/>
    <w:rsid w:val="00EE33BF"/>
    <w:rsid w:val="00F0008C"/>
    <w:rsid w:val="00F03418"/>
    <w:rsid w:val="00F3046D"/>
    <w:rsid w:val="00F43C74"/>
    <w:rsid w:val="00F47D15"/>
    <w:rsid w:val="00F556BC"/>
    <w:rsid w:val="00F57FE2"/>
    <w:rsid w:val="00F635A3"/>
    <w:rsid w:val="00F64567"/>
    <w:rsid w:val="00F76EC5"/>
    <w:rsid w:val="00F8182D"/>
    <w:rsid w:val="00F85CE1"/>
    <w:rsid w:val="00F95DE1"/>
    <w:rsid w:val="00FB0240"/>
    <w:rsid w:val="00FB6C52"/>
    <w:rsid w:val="00FC067E"/>
    <w:rsid w:val="00FC5CC6"/>
    <w:rsid w:val="00FD1ACC"/>
    <w:rsid w:val="00FD5A59"/>
    <w:rsid w:val="00FD6A99"/>
    <w:rsid w:val="00FE19A5"/>
    <w:rsid w:val="00FE787F"/>
    <w:rsid w:val="00FF0C8B"/>
    <w:rsid w:val="00FF25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1745116"/>
  <w15:docId w15:val="{0D1332B5-571F-43E5-94C3-43F081D24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EC Paper Body"/>
    <w:qFormat/>
    <w:rsid w:val="00B13710"/>
    <w:pPr>
      <w:spacing w:after="120"/>
    </w:pPr>
    <w:rPr>
      <w:rFonts w:ascii="Arial" w:hAnsi="Arial"/>
      <w:color w:val="404040" w:themeColor="text1" w:themeTint="BF"/>
      <w:sz w:val="20"/>
    </w:rPr>
  </w:style>
  <w:style w:type="paragraph" w:styleId="Heading1">
    <w:name w:val="heading 1"/>
    <w:basedOn w:val="Normal"/>
    <w:next w:val="Normal"/>
    <w:link w:val="Heading1Char"/>
    <w:uiPriority w:val="9"/>
    <w:rsid w:val="000D0828"/>
    <w:pPr>
      <w:keepNext/>
      <w:keepLines/>
      <w:numPr>
        <w:numId w:val="1"/>
      </w:numPr>
      <w:spacing w:before="480" w:after="360"/>
      <w:ind w:left="357" w:hanging="357"/>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rsid w:val="000D0828"/>
    <w:pPr>
      <w:keepNext/>
      <w:keepLines/>
      <w:numPr>
        <w:numId w:val="2"/>
      </w:numPr>
      <w:spacing w:before="120"/>
      <w:ind w:left="357" w:hanging="357"/>
      <w:outlineLvl w:val="1"/>
    </w:pPr>
    <w:rPr>
      <w:rFonts w:eastAsiaTheme="majorEastAsia" w:cstheme="majorBidi"/>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0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45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458B"/>
  </w:style>
  <w:style w:type="paragraph" w:styleId="Footer">
    <w:name w:val="footer"/>
    <w:basedOn w:val="Normal"/>
    <w:link w:val="FooterChar"/>
    <w:uiPriority w:val="99"/>
    <w:unhideWhenUsed/>
    <w:rsid w:val="004F45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458B"/>
  </w:style>
  <w:style w:type="paragraph" w:styleId="BalloonText">
    <w:name w:val="Balloon Text"/>
    <w:basedOn w:val="Normal"/>
    <w:link w:val="BalloonTextChar"/>
    <w:uiPriority w:val="99"/>
    <w:semiHidden/>
    <w:unhideWhenUsed/>
    <w:rsid w:val="004F4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58B"/>
    <w:rPr>
      <w:rFonts w:ascii="Tahoma" w:hAnsi="Tahoma" w:cs="Tahoma"/>
      <w:sz w:val="16"/>
      <w:szCs w:val="16"/>
    </w:rPr>
  </w:style>
  <w:style w:type="character" w:customStyle="1" w:styleId="Heading1Char">
    <w:name w:val="Heading 1 Char"/>
    <w:basedOn w:val="DefaultParagraphFont"/>
    <w:link w:val="Heading1"/>
    <w:uiPriority w:val="9"/>
    <w:rsid w:val="000D0828"/>
    <w:rPr>
      <w:rFonts w:ascii="Arial" w:eastAsiaTheme="majorEastAsia" w:hAnsi="Arial" w:cstheme="majorBidi"/>
      <w:b/>
      <w:bCs/>
      <w:color w:val="404040" w:themeColor="text1" w:themeTint="BF"/>
      <w:sz w:val="28"/>
      <w:szCs w:val="28"/>
    </w:rPr>
  </w:style>
  <w:style w:type="character" w:customStyle="1" w:styleId="Heading2Char">
    <w:name w:val="Heading 2 Char"/>
    <w:basedOn w:val="DefaultParagraphFont"/>
    <w:link w:val="Heading2"/>
    <w:uiPriority w:val="9"/>
    <w:rsid w:val="000D0828"/>
    <w:rPr>
      <w:rFonts w:ascii="Arial" w:eastAsiaTheme="majorEastAsia" w:hAnsi="Arial" w:cstheme="majorBidi"/>
      <w:b/>
      <w:bCs/>
      <w:color w:val="404040" w:themeColor="text1" w:themeTint="BF"/>
      <w:szCs w:val="26"/>
    </w:rPr>
  </w:style>
  <w:style w:type="paragraph" w:styleId="Title">
    <w:name w:val="Title"/>
    <w:basedOn w:val="Normal"/>
    <w:next w:val="Normal"/>
    <w:link w:val="TitleChar"/>
    <w:uiPriority w:val="10"/>
    <w:rsid w:val="000D0828"/>
    <w:pPr>
      <w:spacing w:before="240" w:after="480" w:line="240" w:lineRule="auto"/>
      <w:jc w:val="center"/>
    </w:pPr>
    <w:rPr>
      <w:rFonts w:eastAsiaTheme="majorEastAsia" w:cstheme="majorBidi"/>
      <w:b/>
      <w:spacing w:val="5"/>
      <w:kern w:val="28"/>
      <w:sz w:val="32"/>
      <w:szCs w:val="52"/>
    </w:rPr>
  </w:style>
  <w:style w:type="character" w:customStyle="1" w:styleId="TitleChar">
    <w:name w:val="Title Char"/>
    <w:basedOn w:val="DefaultParagraphFont"/>
    <w:link w:val="Title"/>
    <w:uiPriority w:val="10"/>
    <w:rsid w:val="000D0828"/>
    <w:rPr>
      <w:rFonts w:ascii="Arial" w:eastAsiaTheme="majorEastAsia" w:hAnsi="Arial" w:cstheme="majorBidi"/>
      <w:b/>
      <w:color w:val="404040" w:themeColor="text1" w:themeTint="BF"/>
      <w:spacing w:val="5"/>
      <w:kern w:val="28"/>
      <w:sz w:val="32"/>
      <w:szCs w:val="52"/>
    </w:rPr>
  </w:style>
  <w:style w:type="paragraph" w:styleId="Subtitle">
    <w:name w:val="Subtitle"/>
    <w:aliases w:val="Heading"/>
    <w:basedOn w:val="Normal"/>
    <w:next w:val="Normal"/>
    <w:link w:val="SubtitleChar"/>
    <w:autoRedefine/>
    <w:uiPriority w:val="11"/>
    <w:qFormat/>
    <w:rsid w:val="00F556BC"/>
    <w:pPr>
      <w:keepNext/>
      <w:spacing w:before="480"/>
    </w:pPr>
    <w:rPr>
      <w:rFonts w:eastAsiaTheme="majorEastAsia" w:cstheme="majorBidi"/>
      <w:b/>
      <w:iCs/>
      <w:spacing w:val="15"/>
      <w:sz w:val="24"/>
      <w:szCs w:val="24"/>
    </w:rPr>
  </w:style>
  <w:style w:type="character" w:customStyle="1" w:styleId="SubtitleChar">
    <w:name w:val="Subtitle Char"/>
    <w:aliases w:val="Heading Char"/>
    <w:basedOn w:val="DefaultParagraphFont"/>
    <w:link w:val="Subtitle"/>
    <w:uiPriority w:val="11"/>
    <w:rsid w:val="00F556BC"/>
    <w:rPr>
      <w:rFonts w:ascii="Arial" w:eastAsiaTheme="majorEastAsia" w:hAnsi="Arial" w:cstheme="majorBidi"/>
      <w:b/>
      <w:iCs/>
      <w:color w:val="404040" w:themeColor="text1" w:themeTint="BF"/>
      <w:spacing w:val="15"/>
      <w:sz w:val="24"/>
      <w:szCs w:val="24"/>
    </w:rPr>
  </w:style>
  <w:style w:type="character" w:customStyle="1" w:styleId="MRABodyChar">
    <w:name w:val="MRA Body Char"/>
    <w:basedOn w:val="DefaultParagraphFont"/>
    <w:link w:val="MRABody"/>
    <w:locked/>
    <w:rsid w:val="00E1288E"/>
  </w:style>
  <w:style w:type="paragraph" w:customStyle="1" w:styleId="MRABody">
    <w:name w:val="MRA Body"/>
    <w:basedOn w:val="Normal"/>
    <w:link w:val="MRABodyChar"/>
    <w:rsid w:val="00E1288E"/>
    <w:pPr>
      <w:keepLines/>
      <w:spacing w:line="288" w:lineRule="auto"/>
      <w:jc w:val="both"/>
    </w:pPr>
    <w:rPr>
      <w:rFonts w:asciiTheme="minorHAnsi" w:hAnsiTheme="minorHAnsi"/>
      <w:color w:val="auto"/>
      <w:sz w:val="22"/>
    </w:rPr>
  </w:style>
  <w:style w:type="table" w:customStyle="1" w:styleId="SECTable">
    <w:name w:val="SEC Table"/>
    <w:basedOn w:val="TableNormal"/>
    <w:uiPriority w:val="99"/>
    <w:rsid w:val="00881CA8"/>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b/>
        <w:color w:val="FFFFFF" w:themeColor="background1"/>
        <w:sz w:val="20"/>
      </w:rPr>
      <w:tblPr/>
      <w:tcPr>
        <w:shd w:val="clear" w:color="auto" w:fill="00B0F0"/>
      </w:tcPr>
    </w:tblStylePr>
  </w:style>
  <w:style w:type="paragraph" w:styleId="ListParagraph">
    <w:name w:val="List Paragraph"/>
    <w:aliases w:val="SEC Bullet Point,Dot pt,No Spacing1,List Paragraph Char Char Char,Indicator Text,Numbered Para 1,List Paragraph1,Bullet 1,Bullet Points,MAIN CONTENT,List Paragraph12,List Para,Bullet text"/>
    <w:basedOn w:val="Normal"/>
    <w:link w:val="ListParagraphChar"/>
    <w:qFormat/>
    <w:rsid w:val="00EE33BF"/>
    <w:pPr>
      <w:numPr>
        <w:numId w:val="3"/>
      </w:numPr>
    </w:pPr>
  </w:style>
  <w:style w:type="paragraph" w:customStyle="1" w:styleId="SECPaperTitle">
    <w:name w:val="SEC Paper Title"/>
    <w:basedOn w:val="Title"/>
    <w:link w:val="SECPaperTitleChar"/>
    <w:qFormat/>
    <w:rsid w:val="001E4249"/>
  </w:style>
  <w:style w:type="paragraph" w:customStyle="1" w:styleId="Sub-Heading">
    <w:name w:val="Sub-Heading"/>
    <w:basedOn w:val="Normal"/>
    <w:link w:val="Sub-HeadingChar"/>
    <w:rsid w:val="00267F7B"/>
    <w:rPr>
      <w:b/>
    </w:rPr>
  </w:style>
  <w:style w:type="character" w:customStyle="1" w:styleId="SECPaperTitleChar">
    <w:name w:val="SEC Paper Title Char"/>
    <w:basedOn w:val="TitleChar"/>
    <w:link w:val="SECPaperTitle"/>
    <w:rsid w:val="001E4249"/>
    <w:rPr>
      <w:rFonts w:ascii="Arial" w:eastAsiaTheme="majorEastAsia" w:hAnsi="Arial" w:cstheme="majorBidi"/>
      <w:b/>
      <w:color w:val="404040" w:themeColor="text1" w:themeTint="BF"/>
      <w:spacing w:val="5"/>
      <w:kern w:val="28"/>
      <w:sz w:val="32"/>
      <w:szCs w:val="52"/>
    </w:rPr>
  </w:style>
  <w:style w:type="numbering" w:customStyle="1" w:styleId="SECPanelPaperHeadings">
    <w:name w:val="SEC Panel Paper Headings"/>
    <w:uiPriority w:val="99"/>
    <w:rsid w:val="00E5727E"/>
    <w:pPr>
      <w:numPr>
        <w:numId w:val="4"/>
      </w:numPr>
    </w:pPr>
  </w:style>
  <w:style w:type="character" w:customStyle="1" w:styleId="Sub-HeadingChar">
    <w:name w:val="Sub-Heading Char"/>
    <w:basedOn w:val="DefaultParagraphFont"/>
    <w:link w:val="Sub-Heading"/>
    <w:rsid w:val="00267F7B"/>
    <w:rPr>
      <w:rFonts w:ascii="Arial" w:hAnsi="Arial"/>
      <w:b/>
      <w:color w:val="404040" w:themeColor="text1" w:themeTint="BF"/>
      <w:sz w:val="20"/>
    </w:rPr>
  </w:style>
  <w:style w:type="paragraph" w:styleId="Caption">
    <w:name w:val="caption"/>
    <w:aliases w:val="Caption SEC Table"/>
    <w:basedOn w:val="Sub-Heading"/>
    <w:next w:val="Normal"/>
    <w:uiPriority w:val="35"/>
    <w:unhideWhenUsed/>
    <w:qFormat/>
    <w:rsid w:val="00267F7B"/>
    <w:pPr>
      <w:ind w:left="709" w:hanging="709"/>
      <w:jc w:val="right"/>
    </w:pPr>
    <w:rPr>
      <w:i/>
    </w:rPr>
  </w:style>
  <w:style w:type="paragraph" w:customStyle="1" w:styleId="Subheading">
    <w:name w:val="Subheading"/>
    <w:basedOn w:val="Subtitle"/>
    <w:next w:val="Normal"/>
    <w:qFormat/>
    <w:rsid w:val="00F57FE2"/>
    <w:pPr>
      <w:numPr>
        <w:ilvl w:val="1"/>
      </w:numPr>
      <w:spacing w:before="0"/>
    </w:pPr>
    <w:rPr>
      <w:sz w:val="20"/>
    </w:rPr>
  </w:style>
  <w:style w:type="numbering" w:customStyle="1" w:styleId="Subtitles">
    <w:name w:val="Subtitles"/>
    <w:uiPriority w:val="99"/>
    <w:rsid w:val="00A75FD0"/>
    <w:pPr>
      <w:numPr>
        <w:numId w:val="5"/>
      </w:numPr>
    </w:pPr>
  </w:style>
  <w:style w:type="paragraph" w:customStyle="1" w:styleId="TableHeading">
    <w:name w:val="Table Heading"/>
    <w:basedOn w:val="Normal"/>
    <w:link w:val="TableHeadingChar"/>
    <w:qFormat/>
    <w:rsid w:val="003C08F7"/>
    <w:pPr>
      <w:spacing w:after="0" w:line="240" w:lineRule="auto"/>
      <w:jc w:val="center"/>
    </w:pPr>
    <w:rPr>
      <w:rFonts w:eastAsiaTheme="minorEastAsia" w:cs="Arial"/>
      <w:b/>
      <w:color w:val="FFFFFF" w:themeColor="background1"/>
      <w:sz w:val="22"/>
      <w:lang w:eastAsia="en-GB"/>
    </w:rPr>
  </w:style>
  <w:style w:type="character" w:customStyle="1" w:styleId="TableHeadingChar">
    <w:name w:val="Table Heading Char"/>
    <w:basedOn w:val="DefaultParagraphFont"/>
    <w:link w:val="TableHeading"/>
    <w:rsid w:val="003C08F7"/>
    <w:rPr>
      <w:rFonts w:ascii="Arial" w:eastAsiaTheme="minorEastAsia" w:hAnsi="Arial" w:cs="Arial"/>
      <w:b/>
      <w:color w:val="FFFFFF" w:themeColor="background1"/>
      <w:lang w:eastAsia="en-GB"/>
    </w:rPr>
  </w:style>
  <w:style w:type="character" w:customStyle="1" w:styleId="ListParagraphChar">
    <w:name w:val="List Paragraph Char"/>
    <w:aliases w:val="SEC Bullet Point Char,Dot pt Char,No Spacing1 Char,List Paragraph Char Char Char Char,Indicator Text Char,Numbered Para 1 Char,List Paragraph1 Char,Bullet 1 Char,Bullet Points Char,MAIN CONTENT Char,List Paragraph12 Char"/>
    <w:basedOn w:val="DefaultParagraphFont"/>
    <w:link w:val="ListParagraph"/>
    <w:qFormat/>
    <w:locked/>
    <w:rsid w:val="003C08F7"/>
    <w:rPr>
      <w:rFonts w:ascii="Arial" w:hAnsi="Arial"/>
      <w:color w:val="404040" w:themeColor="text1" w:themeTint="BF"/>
      <w:sz w:val="20"/>
    </w:rPr>
  </w:style>
  <w:style w:type="table" w:customStyle="1" w:styleId="TableGrid1">
    <w:name w:val="Table Grid1"/>
    <w:basedOn w:val="TableNormal"/>
    <w:uiPriority w:val="59"/>
    <w:rsid w:val="003C08F7"/>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3710"/>
    <w:rPr>
      <w:color w:val="0563C1"/>
      <w:u w:val="single"/>
    </w:rPr>
  </w:style>
  <w:style w:type="character" w:styleId="CommentReference">
    <w:name w:val="annotation reference"/>
    <w:basedOn w:val="DefaultParagraphFont"/>
    <w:uiPriority w:val="99"/>
    <w:semiHidden/>
    <w:unhideWhenUsed/>
    <w:rsid w:val="00810F76"/>
    <w:rPr>
      <w:sz w:val="16"/>
      <w:szCs w:val="16"/>
    </w:rPr>
  </w:style>
  <w:style w:type="paragraph" w:styleId="CommentText">
    <w:name w:val="annotation text"/>
    <w:basedOn w:val="Normal"/>
    <w:link w:val="CommentTextChar"/>
    <w:uiPriority w:val="99"/>
    <w:semiHidden/>
    <w:unhideWhenUsed/>
    <w:rsid w:val="00810F76"/>
    <w:pPr>
      <w:spacing w:line="240" w:lineRule="auto"/>
    </w:pPr>
    <w:rPr>
      <w:szCs w:val="20"/>
    </w:rPr>
  </w:style>
  <w:style w:type="character" w:customStyle="1" w:styleId="CommentTextChar">
    <w:name w:val="Comment Text Char"/>
    <w:basedOn w:val="DefaultParagraphFont"/>
    <w:link w:val="CommentText"/>
    <w:uiPriority w:val="99"/>
    <w:semiHidden/>
    <w:rsid w:val="00810F76"/>
    <w:rPr>
      <w:rFonts w:ascii="Arial" w:hAnsi="Arial"/>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810F76"/>
    <w:rPr>
      <w:b/>
      <w:bCs/>
    </w:rPr>
  </w:style>
  <w:style w:type="character" w:customStyle="1" w:styleId="CommentSubjectChar">
    <w:name w:val="Comment Subject Char"/>
    <w:basedOn w:val="CommentTextChar"/>
    <w:link w:val="CommentSubject"/>
    <w:uiPriority w:val="99"/>
    <w:semiHidden/>
    <w:rsid w:val="00810F76"/>
    <w:rPr>
      <w:rFonts w:ascii="Arial" w:hAnsi="Arial"/>
      <w:b/>
      <w:bCs/>
      <w:color w:val="404040" w:themeColor="text1" w:themeTint="BF"/>
      <w:sz w:val="20"/>
      <w:szCs w:val="20"/>
    </w:rPr>
  </w:style>
  <w:style w:type="paragraph" w:styleId="Revision">
    <w:name w:val="Revision"/>
    <w:hidden/>
    <w:uiPriority w:val="99"/>
    <w:semiHidden/>
    <w:rsid w:val="00AF1834"/>
    <w:pPr>
      <w:spacing w:after="0" w:line="240" w:lineRule="auto"/>
    </w:pPr>
    <w:rPr>
      <w:rFonts w:ascii="Arial" w:hAnsi="Arial"/>
      <w:color w:val="404040" w:themeColor="text1" w:themeTint="BF"/>
      <w:sz w:val="20"/>
    </w:rPr>
  </w:style>
  <w:style w:type="character" w:styleId="UnresolvedMention">
    <w:name w:val="Unresolved Mention"/>
    <w:basedOn w:val="DefaultParagraphFont"/>
    <w:uiPriority w:val="99"/>
    <w:semiHidden/>
    <w:unhideWhenUsed/>
    <w:rsid w:val="003025E2"/>
    <w:rPr>
      <w:color w:val="605E5C"/>
      <w:shd w:val="clear" w:color="auto" w:fill="E1DFDD"/>
    </w:rPr>
  </w:style>
  <w:style w:type="table" w:customStyle="1" w:styleId="TableGrid11">
    <w:name w:val="Table Grid11"/>
    <w:basedOn w:val="TableNormal"/>
    <w:uiPriority w:val="59"/>
    <w:rsid w:val="00E152A7"/>
    <w:pPr>
      <w:spacing w:after="0" w:line="240" w:lineRule="auto"/>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Text1">
    <w:name w:val="Comment Text1"/>
    <w:basedOn w:val="Normal"/>
    <w:next w:val="CommentText"/>
    <w:uiPriority w:val="99"/>
    <w:semiHidden/>
    <w:unhideWhenUsed/>
    <w:rsid w:val="00E152A7"/>
    <w:pPr>
      <w:spacing w:line="240" w:lineRule="auto"/>
    </w:pPr>
    <w:rPr>
      <w:color w:val="40404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2013">
      <w:bodyDiv w:val="1"/>
      <w:marLeft w:val="0"/>
      <w:marRight w:val="0"/>
      <w:marTop w:val="0"/>
      <w:marBottom w:val="0"/>
      <w:divBdr>
        <w:top w:val="none" w:sz="0" w:space="0" w:color="auto"/>
        <w:left w:val="none" w:sz="0" w:space="0" w:color="auto"/>
        <w:bottom w:val="none" w:sz="0" w:space="0" w:color="auto"/>
        <w:right w:val="none" w:sz="0" w:space="0" w:color="auto"/>
      </w:divBdr>
    </w:div>
    <w:div w:id="252518843">
      <w:bodyDiv w:val="1"/>
      <w:marLeft w:val="0"/>
      <w:marRight w:val="0"/>
      <w:marTop w:val="0"/>
      <w:marBottom w:val="0"/>
      <w:divBdr>
        <w:top w:val="none" w:sz="0" w:space="0" w:color="auto"/>
        <w:left w:val="none" w:sz="0" w:space="0" w:color="auto"/>
        <w:bottom w:val="none" w:sz="0" w:space="0" w:color="auto"/>
        <w:right w:val="none" w:sz="0" w:space="0" w:color="auto"/>
      </w:divBdr>
      <w:divsChild>
        <w:div w:id="1179855502">
          <w:marLeft w:val="360"/>
          <w:marRight w:val="0"/>
          <w:marTop w:val="200"/>
          <w:marBottom w:val="0"/>
          <w:divBdr>
            <w:top w:val="none" w:sz="0" w:space="0" w:color="auto"/>
            <w:left w:val="none" w:sz="0" w:space="0" w:color="auto"/>
            <w:bottom w:val="none" w:sz="0" w:space="0" w:color="auto"/>
            <w:right w:val="none" w:sz="0" w:space="0" w:color="auto"/>
          </w:divBdr>
        </w:div>
      </w:divsChild>
    </w:div>
    <w:div w:id="441612215">
      <w:bodyDiv w:val="1"/>
      <w:marLeft w:val="0"/>
      <w:marRight w:val="0"/>
      <w:marTop w:val="0"/>
      <w:marBottom w:val="0"/>
      <w:divBdr>
        <w:top w:val="none" w:sz="0" w:space="0" w:color="auto"/>
        <w:left w:val="none" w:sz="0" w:space="0" w:color="auto"/>
        <w:bottom w:val="none" w:sz="0" w:space="0" w:color="auto"/>
        <w:right w:val="none" w:sz="0" w:space="0" w:color="auto"/>
      </w:divBdr>
      <w:divsChild>
        <w:div w:id="1756315620">
          <w:marLeft w:val="360"/>
          <w:marRight w:val="0"/>
          <w:marTop w:val="200"/>
          <w:marBottom w:val="0"/>
          <w:divBdr>
            <w:top w:val="none" w:sz="0" w:space="0" w:color="auto"/>
            <w:left w:val="none" w:sz="0" w:space="0" w:color="auto"/>
            <w:bottom w:val="none" w:sz="0" w:space="0" w:color="auto"/>
            <w:right w:val="none" w:sz="0" w:space="0" w:color="auto"/>
          </w:divBdr>
        </w:div>
      </w:divsChild>
    </w:div>
    <w:div w:id="1094476975">
      <w:bodyDiv w:val="1"/>
      <w:marLeft w:val="0"/>
      <w:marRight w:val="0"/>
      <w:marTop w:val="0"/>
      <w:marBottom w:val="0"/>
      <w:divBdr>
        <w:top w:val="none" w:sz="0" w:space="0" w:color="auto"/>
        <w:left w:val="none" w:sz="0" w:space="0" w:color="auto"/>
        <w:bottom w:val="none" w:sz="0" w:space="0" w:color="auto"/>
        <w:right w:val="none" w:sz="0" w:space="0" w:color="auto"/>
      </w:divBdr>
      <w:divsChild>
        <w:div w:id="661278397">
          <w:marLeft w:val="547"/>
          <w:marRight w:val="0"/>
          <w:marTop w:val="0"/>
          <w:marBottom w:val="0"/>
          <w:divBdr>
            <w:top w:val="none" w:sz="0" w:space="0" w:color="auto"/>
            <w:left w:val="none" w:sz="0" w:space="0" w:color="auto"/>
            <w:bottom w:val="none" w:sz="0" w:space="0" w:color="auto"/>
            <w:right w:val="none" w:sz="0" w:space="0" w:color="auto"/>
          </w:divBdr>
        </w:div>
      </w:divsChild>
    </w:div>
    <w:div w:id="1114247011">
      <w:bodyDiv w:val="1"/>
      <w:marLeft w:val="0"/>
      <w:marRight w:val="0"/>
      <w:marTop w:val="0"/>
      <w:marBottom w:val="0"/>
      <w:divBdr>
        <w:top w:val="none" w:sz="0" w:space="0" w:color="auto"/>
        <w:left w:val="none" w:sz="0" w:space="0" w:color="auto"/>
        <w:bottom w:val="none" w:sz="0" w:space="0" w:color="auto"/>
        <w:right w:val="none" w:sz="0" w:space="0" w:color="auto"/>
      </w:divBdr>
    </w:div>
    <w:div w:id="1677877166">
      <w:bodyDiv w:val="1"/>
      <w:marLeft w:val="0"/>
      <w:marRight w:val="0"/>
      <w:marTop w:val="0"/>
      <w:marBottom w:val="0"/>
      <w:divBdr>
        <w:top w:val="none" w:sz="0" w:space="0" w:color="auto"/>
        <w:left w:val="none" w:sz="0" w:space="0" w:color="auto"/>
        <w:bottom w:val="none" w:sz="0" w:space="0" w:color="auto"/>
        <w:right w:val="none" w:sz="0" w:space="0" w:color="auto"/>
      </w:divBdr>
      <w:divsChild>
        <w:div w:id="62879678">
          <w:marLeft w:val="360"/>
          <w:marRight w:val="0"/>
          <w:marTop w:val="200"/>
          <w:marBottom w:val="0"/>
          <w:divBdr>
            <w:top w:val="none" w:sz="0" w:space="0" w:color="auto"/>
            <w:left w:val="none" w:sz="0" w:space="0" w:color="auto"/>
            <w:bottom w:val="none" w:sz="0" w:space="0" w:color="auto"/>
            <w:right w:val="none" w:sz="0" w:space="0" w:color="auto"/>
          </w:divBdr>
        </w:div>
      </w:divsChild>
    </w:div>
    <w:div w:id="1689595908">
      <w:bodyDiv w:val="1"/>
      <w:marLeft w:val="0"/>
      <w:marRight w:val="0"/>
      <w:marTop w:val="0"/>
      <w:marBottom w:val="0"/>
      <w:divBdr>
        <w:top w:val="none" w:sz="0" w:space="0" w:color="auto"/>
        <w:left w:val="none" w:sz="0" w:space="0" w:color="auto"/>
        <w:bottom w:val="none" w:sz="0" w:space="0" w:color="auto"/>
        <w:right w:val="none" w:sz="0" w:space="0" w:color="auto"/>
      </w:divBdr>
      <w:divsChild>
        <w:div w:id="152840664">
          <w:marLeft w:val="547"/>
          <w:marRight w:val="0"/>
          <w:marTop w:val="0"/>
          <w:marBottom w:val="0"/>
          <w:divBdr>
            <w:top w:val="none" w:sz="0" w:space="0" w:color="auto"/>
            <w:left w:val="none" w:sz="0" w:space="0" w:color="auto"/>
            <w:bottom w:val="none" w:sz="0" w:space="0" w:color="auto"/>
            <w:right w:val="none" w:sz="0" w:space="0" w:color="auto"/>
          </w:divBdr>
        </w:div>
      </w:divsChild>
    </w:div>
    <w:div w:id="1699159126">
      <w:bodyDiv w:val="1"/>
      <w:marLeft w:val="0"/>
      <w:marRight w:val="0"/>
      <w:marTop w:val="0"/>
      <w:marBottom w:val="0"/>
      <w:divBdr>
        <w:top w:val="none" w:sz="0" w:space="0" w:color="auto"/>
        <w:left w:val="none" w:sz="0" w:space="0" w:color="auto"/>
        <w:bottom w:val="none" w:sz="0" w:space="0" w:color="auto"/>
        <w:right w:val="none" w:sz="0" w:space="0" w:color="auto"/>
      </w:divBdr>
      <w:divsChild>
        <w:div w:id="602349556">
          <w:marLeft w:val="360"/>
          <w:marRight w:val="0"/>
          <w:marTop w:val="200"/>
          <w:marBottom w:val="0"/>
          <w:divBdr>
            <w:top w:val="none" w:sz="0" w:space="0" w:color="auto"/>
            <w:left w:val="none" w:sz="0" w:space="0" w:color="auto"/>
            <w:bottom w:val="none" w:sz="0" w:space="0" w:color="auto"/>
            <w:right w:val="none" w:sz="0" w:space="0" w:color="auto"/>
          </w:divBdr>
        </w:div>
      </w:divsChild>
    </w:div>
    <w:div w:id="192198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martenergycodecompany.co.uk/modifications/service-request-forecast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martenergycodecompany.co.uk/modifications/bulk-ch-return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685C8-F546-4FB1-80A5-E949013C1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562</TotalTime>
  <Pages>5</Pages>
  <Words>1774</Words>
  <Characters>10118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MP096 - Working Group meeting summary</vt:lpstr>
    </vt:vector>
  </TitlesOfParts>
  <Company>Gemserv</Company>
  <LinksUpToDate>false</LinksUpToDate>
  <CharactersWithSpaces>11869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MP096 - Working Group meeting summary</dc:title>
  <dc:creator>Bradley Baker</dc:creator>
  <cp:lastModifiedBy>Bradley Baker</cp:lastModifiedBy>
  <cp:revision>16</cp:revision>
  <cp:lastPrinted>2020-10-20T09:46:00Z</cp:lastPrinted>
  <dcterms:created xsi:type="dcterms:W3CDTF">2021-04-16T09:44:00Z</dcterms:created>
  <dcterms:modified xsi:type="dcterms:W3CDTF">2021-05-13T14:23:00Z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2021-04-15T09:50:04Z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f527d1c4-141e-4f1b-ad4e-a1a821d7d4ff</vt:lpwstr>
  </property>
  <property fmtid="{D5CDD505-2E9C-101B-9397-08002B2CF9AE}" pid="8" name="MSIP_Label_ba62f585-b40f-4ab9-bafe-39150f03d124_ContentBits">
    <vt:lpwstr>0</vt:lpwstr>
  </property>
</Properties>
</file>