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A0ED" w14:textId="5B25CA7D" w:rsidR="00D55C33" w:rsidRDefault="009F62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7418" wp14:editId="31210789">
                <wp:simplePos x="0" y="0"/>
                <wp:positionH relativeFrom="margin">
                  <wp:posOffset>0</wp:posOffset>
                </wp:positionH>
                <wp:positionV relativeFrom="paragraph">
                  <wp:posOffset>-2324</wp:posOffset>
                </wp:positionV>
                <wp:extent cx="5731510" cy="146240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46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B23F" w14:textId="4CED6DB1" w:rsidR="009F6286" w:rsidRPr="008678E3" w:rsidRDefault="00A16066" w:rsidP="009F6286">
                            <w:pPr>
                              <w:pStyle w:val="ReportTitle"/>
                              <w:rPr>
                                <w:b/>
                                <w:bCs/>
                              </w:rPr>
                            </w:pPr>
                            <w:r w:rsidRPr="008678E3">
                              <w:rPr>
                                <w:b/>
                                <w:bCs/>
                              </w:rPr>
                              <w:t xml:space="preserve">SEC </w:t>
                            </w:r>
                            <w:r w:rsidR="009F6286" w:rsidRPr="008678E3">
                              <w:rPr>
                                <w:b/>
                                <w:bCs/>
                              </w:rPr>
                              <w:t>Pr</w:t>
                            </w:r>
                            <w:r w:rsidRPr="008678E3">
                              <w:rPr>
                                <w:b/>
                                <w:bCs/>
                              </w:rPr>
                              <w:t>ivacy</w:t>
                            </w:r>
                            <w:r w:rsidR="009F6286" w:rsidRPr="008678E3">
                              <w:rPr>
                                <w:b/>
                                <w:bCs/>
                              </w:rPr>
                              <w:t xml:space="preserve"> Change </w:t>
                            </w:r>
                            <w:r w:rsidRPr="008678E3">
                              <w:rPr>
                                <w:b/>
                                <w:bCs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741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-.2pt;width:451.3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" filled="f" stroked="f" strokeweight=".5pt">
                <v:textbox>
                  <w:txbxContent>
                    <w:p w14:paraId="2B84B23F" w14:textId="4CED6DB1" w:rsidR="009F6286" w:rsidRPr="008678E3" w:rsidRDefault="00A16066" w:rsidP="009F6286">
                      <w:pPr>
                        <w:pStyle w:val="ReportTitle"/>
                        <w:rPr>
                          <w:b/>
                          <w:bCs/>
                        </w:rPr>
                      </w:pPr>
                      <w:r w:rsidRPr="008678E3">
                        <w:rPr>
                          <w:b/>
                          <w:bCs/>
                        </w:rPr>
                        <w:t xml:space="preserve">SEC </w:t>
                      </w:r>
                      <w:r w:rsidR="009F6286" w:rsidRPr="008678E3">
                        <w:rPr>
                          <w:b/>
                          <w:bCs/>
                        </w:rPr>
                        <w:t>Pr</w:t>
                      </w:r>
                      <w:r w:rsidRPr="008678E3">
                        <w:rPr>
                          <w:b/>
                          <w:bCs/>
                        </w:rPr>
                        <w:t>ivacy</w:t>
                      </w:r>
                      <w:r w:rsidR="009F6286" w:rsidRPr="008678E3">
                        <w:rPr>
                          <w:b/>
                          <w:bCs/>
                        </w:rPr>
                        <w:t xml:space="preserve"> Change </w:t>
                      </w:r>
                      <w:r w:rsidRPr="008678E3">
                        <w:rPr>
                          <w:b/>
                          <w:bCs/>
                        </w:rPr>
                        <w:t>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2AC6355" wp14:editId="7A6B6315">
            <wp:extent cx="5731510" cy="1462832"/>
            <wp:effectExtent l="0" t="0" r="254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60"/>
        <w:gridCol w:w="2806"/>
        <w:gridCol w:w="2104"/>
        <w:gridCol w:w="2055"/>
      </w:tblGrid>
      <w:tr w:rsidR="000B0403" w:rsidRPr="00283E99" w14:paraId="1D918A22" w14:textId="77777777" w:rsidTr="008678E3">
        <w:trPr>
          <w:trHeight w:val="411"/>
          <w:jc w:val="center"/>
        </w:trPr>
        <w:tc>
          <w:tcPr>
            <w:tcW w:w="1960" w:type="dxa"/>
            <w:shd w:val="clear" w:color="auto" w:fill="A6CF64"/>
          </w:tcPr>
          <w:p w14:paraId="4A01B274" w14:textId="77777777" w:rsidR="000B0403" w:rsidRDefault="000B0403" w:rsidP="0008403E">
            <w:pPr>
              <w:pStyle w:val="TableHeading"/>
              <w:spacing w:before="120"/>
            </w:pPr>
            <w:r w:rsidRPr="00A54CEB">
              <w:t>SEC Party Entity</w:t>
            </w:r>
          </w:p>
        </w:tc>
        <w:tc>
          <w:tcPr>
            <w:tcW w:w="6965" w:type="dxa"/>
            <w:gridSpan w:val="3"/>
          </w:tcPr>
          <w:p w14:paraId="3E27F291" w14:textId="77777777" w:rsidR="000B0403" w:rsidRPr="00283E99" w:rsidRDefault="000B0403" w:rsidP="0008403E">
            <w:pPr>
              <w:pStyle w:val="TableBody"/>
              <w:rPr>
                <w:b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  <w14:lumMod w14:val="75000"/>
                    </w14:schemeClr>
                  </w14:solidFill>
                </w14:textFill>
              </w:rPr>
            </w:pPr>
            <w:r w:rsidRPr="000B0403">
              <w:rPr>
                <w:i/>
                <w:iCs/>
              </w:rPr>
              <w:t>[Insert SEC Party name]</w:t>
            </w:r>
          </w:p>
        </w:tc>
      </w:tr>
      <w:tr w:rsidR="000B0403" w:rsidRPr="00202B5B" w14:paraId="6C46594C" w14:textId="77777777" w:rsidTr="008678E3">
        <w:trPr>
          <w:trHeight w:val="385"/>
          <w:jc w:val="center"/>
        </w:trPr>
        <w:tc>
          <w:tcPr>
            <w:tcW w:w="1960" w:type="dxa"/>
            <w:shd w:val="clear" w:color="auto" w:fill="A6CF64"/>
          </w:tcPr>
          <w:p w14:paraId="55748351" w14:textId="77777777" w:rsidR="000B0403" w:rsidRPr="00A54CEB" w:rsidRDefault="000B0403" w:rsidP="000B0403">
            <w:pPr>
              <w:pStyle w:val="TableHeading"/>
              <w:spacing w:before="120"/>
            </w:pPr>
            <w:r>
              <w:t>Submission Date</w:t>
            </w:r>
          </w:p>
        </w:tc>
        <w:tc>
          <w:tcPr>
            <w:tcW w:w="2806" w:type="dxa"/>
          </w:tcPr>
          <w:p w14:paraId="71DEA918" w14:textId="77777777" w:rsidR="000B0403" w:rsidRPr="000B0403" w:rsidRDefault="000B0403" w:rsidP="000B0403">
            <w:pPr>
              <w:pStyle w:val="TableBody"/>
              <w:rPr>
                <w:i/>
                <w:iCs/>
              </w:rPr>
            </w:pPr>
            <w:r w:rsidRPr="000B0403">
              <w:rPr>
                <w:i/>
                <w:iCs/>
              </w:rPr>
              <w:t>DD/MM/YYYY</w:t>
            </w:r>
          </w:p>
        </w:tc>
        <w:tc>
          <w:tcPr>
            <w:tcW w:w="2104" w:type="dxa"/>
            <w:shd w:val="clear" w:color="auto" w:fill="A6CF64"/>
          </w:tcPr>
          <w:p w14:paraId="0609E26D" w14:textId="475D549D" w:rsidR="000B0403" w:rsidRPr="00202B5B" w:rsidRDefault="000B0403" w:rsidP="000B0403">
            <w:pPr>
              <w:pStyle w:val="TableBody"/>
            </w:pPr>
            <w:r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Desired</w:t>
            </w:r>
            <w:r w:rsidRPr="009F6286"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 xml:space="preserve"> Change</w:t>
            </w:r>
            <w:r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 xml:space="preserve"> ‘Go Live’</w:t>
            </w:r>
            <w:r w:rsidRPr="009F6286"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 xml:space="preserve"> Date</w:t>
            </w:r>
          </w:p>
        </w:tc>
        <w:tc>
          <w:tcPr>
            <w:tcW w:w="2054" w:type="dxa"/>
          </w:tcPr>
          <w:p w14:paraId="444027DE" w14:textId="77777777" w:rsidR="000B0403" w:rsidRPr="000B0403" w:rsidRDefault="000B0403" w:rsidP="000B0403">
            <w:pPr>
              <w:pStyle w:val="TableHeading"/>
              <w:rPr>
                <w:b w:val="0"/>
                <w:bCs/>
                <w:i/>
                <w:iCs/>
              </w:rPr>
            </w:pPr>
            <w:r w:rsidRPr="000B0403">
              <w:rPr>
                <w:b w:val="0"/>
                <w:i/>
                <w:iCs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  <w14:lumMod w14:val="75000"/>
                    </w14:schemeClr>
                  </w14:solidFill>
                </w14:textFill>
              </w:rPr>
              <w:t>DD/MM/YYYY</w:t>
            </w:r>
          </w:p>
        </w:tc>
      </w:tr>
      <w:tr w:rsidR="000B0403" w14:paraId="2D137E71" w14:textId="77777777" w:rsidTr="008678E3">
        <w:trPr>
          <w:trHeight w:val="437"/>
          <w:jc w:val="center"/>
        </w:trPr>
        <w:tc>
          <w:tcPr>
            <w:tcW w:w="1960" w:type="dxa"/>
            <w:vMerge w:val="restart"/>
            <w:shd w:val="clear" w:color="auto" w:fill="A6CF64"/>
          </w:tcPr>
          <w:p w14:paraId="070E82BB" w14:textId="1B07DDC3" w:rsidR="000B0403" w:rsidRDefault="000B0403" w:rsidP="000B0403">
            <w:pPr>
              <w:pStyle w:val="TableHeading"/>
              <w:spacing w:before="120"/>
            </w:pPr>
            <w:r>
              <w:t>Obligations Affected</w:t>
            </w:r>
          </w:p>
        </w:tc>
        <w:tc>
          <w:tcPr>
            <w:tcW w:w="2806" w:type="dxa"/>
            <w:vMerge w:val="restart"/>
          </w:tcPr>
          <w:p w14:paraId="736876F4" w14:textId="79CBF2D7" w:rsidR="000B0403" w:rsidRDefault="000B0403" w:rsidP="000B0403">
            <w:pPr>
              <w:pStyle w:val="TableBody"/>
            </w:pPr>
            <w:r>
              <w:t>The SEC Privacy Assurance regime covers obligations I1.2 – I1.5 and I1.10.</w:t>
            </w:r>
          </w:p>
          <w:p w14:paraId="52B9F402" w14:textId="1184C175" w:rsidR="000B0403" w:rsidRDefault="000B0403" w:rsidP="000B0403">
            <w:pPr>
              <w:pStyle w:val="TableBody"/>
            </w:pPr>
            <w:r>
              <w:t>Of these obligations please highlight which areas will be impacted by your proposed change(s).</w:t>
            </w:r>
          </w:p>
        </w:tc>
        <w:tc>
          <w:tcPr>
            <w:tcW w:w="2104" w:type="dxa"/>
            <w:shd w:val="clear" w:color="auto" w:fill="A6CF64"/>
          </w:tcPr>
          <w:p w14:paraId="0B29C13E" w14:textId="478E06D6" w:rsidR="000B0403" w:rsidRPr="00A1689E" w:rsidRDefault="000B0403" w:rsidP="000B0403">
            <w:pPr>
              <w:pStyle w:val="TableBody"/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A1689E"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I1.2</w:t>
            </w:r>
            <w:r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 xml:space="preserve"> (Y/N)</w:t>
            </w:r>
          </w:p>
        </w:tc>
        <w:tc>
          <w:tcPr>
            <w:tcW w:w="2054" w:type="dxa"/>
          </w:tcPr>
          <w:p w14:paraId="42D2D3C8" w14:textId="2C1A61E1" w:rsidR="000B0403" w:rsidRDefault="000B0403" w:rsidP="000B0403">
            <w:pPr>
              <w:pStyle w:val="TableBody"/>
            </w:pPr>
          </w:p>
        </w:tc>
      </w:tr>
      <w:tr w:rsidR="000B0403" w14:paraId="18648BBA" w14:textId="77777777" w:rsidTr="008678E3">
        <w:trPr>
          <w:trHeight w:val="436"/>
          <w:jc w:val="center"/>
        </w:trPr>
        <w:tc>
          <w:tcPr>
            <w:tcW w:w="1960" w:type="dxa"/>
            <w:vMerge/>
            <w:shd w:val="clear" w:color="auto" w:fill="A6CF64"/>
          </w:tcPr>
          <w:p w14:paraId="32DE30F4" w14:textId="77777777" w:rsidR="000B0403" w:rsidRDefault="000B0403" w:rsidP="000B0403">
            <w:pPr>
              <w:pStyle w:val="TableHeading"/>
              <w:spacing w:before="120"/>
            </w:pPr>
          </w:p>
        </w:tc>
        <w:tc>
          <w:tcPr>
            <w:tcW w:w="2806" w:type="dxa"/>
            <w:vMerge/>
          </w:tcPr>
          <w:p w14:paraId="1108CEA5" w14:textId="77777777" w:rsidR="000B0403" w:rsidRDefault="000B0403" w:rsidP="000B0403">
            <w:pPr>
              <w:pStyle w:val="TableBody"/>
            </w:pPr>
          </w:p>
        </w:tc>
        <w:tc>
          <w:tcPr>
            <w:tcW w:w="2104" w:type="dxa"/>
            <w:shd w:val="clear" w:color="auto" w:fill="A6CF64"/>
          </w:tcPr>
          <w:p w14:paraId="54DFE328" w14:textId="4D828595" w:rsidR="000B0403" w:rsidRPr="00A1689E" w:rsidRDefault="000B0403" w:rsidP="000B0403">
            <w:pPr>
              <w:pStyle w:val="TableBody"/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A1689E"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I1.3</w:t>
            </w:r>
            <w:r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 xml:space="preserve"> (Y/N)</w:t>
            </w:r>
          </w:p>
        </w:tc>
        <w:tc>
          <w:tcPr>
            <w:tcW w:w="2054" w:type="dxa"/>
          </w:tcPr>
          <w:p w14:paraId="19EC46CB" w14:textId="5F86E3D9" w:rsidR="000B0403" w:rsidRDefault="000B0403" w:rsidP="000B0403">
            <w:pPr>
              <w:pStyle w:val="TableBody"/>
            </w:pPr>
          </w:p>
        </w:tc>
      </w:tr>
      <w:tr w:rsidR="000B0403" w14:paraId="164CB5DB" w14:textId="77777777" w:rsidTr="008678E3">
        <w:trPr>
          <w:trHeight w:val="436"/>
          <w:jc w:val="center"/>
        </w:trPr>
        <w:tc>
          <w:tcPr>
            <w:tcW w:w="1960" w:type="dxa"/>
            <w:vMerge/>
            <w:shd w:val="clear" w:color="auto" w:fill="A6CF64"/>
          </w:tcPr>
          <w:p w14:paraId="645117F7" w14:textId="77777777" w:rsidR="000B0403" w:rsidRDefault="000B0403" w:rsidP="000B0403">
            <w:pPr>
              <w:pStyle w:val="TableHeading"/>
              <w:spacing w:before="120"/>
            </w:pPr>
          </w:p>
        </w:tc>
        <w:tc>
          <w:tcPr>
            <w:tcW w:w="2806" w:type="dxa"/>
            <w:vMerge/>
          </w:tcPr>
          <w:p w14:paraId="16113DD1" w14:textId="77777777" w:rsidR="000B0403" w:rsidRDefault="000B0403" w:rsidP="000B0403">
            <w:pPr>
              <w:pStyle w:val="TableBody"/>
            </w:pPr>
          </w:p>
        </w:tc>
        <w:tc>
          <w:tcPr>
            <w:tcW w:w="2104" w:type="dxa"/>
            <w:shd w:val="clear" w:color="auto" w:fill="A6CF64"/>
          </w:tcPr>
          <w:p w14:paraId="078A4BB4" w14:textId="25DC3908" w:rsidR="000B0403" w:rsidRPr="00A1689E" w:rsidRDefault="000B0403" w:rsidP="000B0403">
            <w:pPr>
              <w:pStyle w:val="TableBody"/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A1689E"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I1.4</w:t>
            </w:r>
            <w:r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 xml:space="preserve"> (Y/N)</w:t>
            </w:r>
          </w:p>
        </w:tc>
        <w:tc>
          <w:tcPr>
            <w:tcW w:w="2054" w:type="dxa"/>
          </w:tcPr>
          <w:p w14:paraId="2E7D41A9" w14:textId="4C08C56A" w:rsidR="000B0403" w:rsidRDefault="000B0403" w:rsidP="000B0403">
            <w:pPr>
              <w:pStyle w:val="TableBody"/>
            </w:pPr>
          </w:p>
        </w:tc>
      </w:tr>
      <w:tr w:rsidR="000B0403" w14:paraId="34FEB951" w14:textId="77777777" w:rsidTr="008678E3">
        <w:trPr>
          <w:trHeight w:val="436"/>
          <w:jc w:val="center"/>
        </w:trPr>
        <w:tc>
          <w:tcPr>
            <w:tcW w:w="1960" w:type="dxa"/>
            <w:vMerge/>
            <w:shd w:val="clear" w:color="auto" w:fill="A6CF64"/>
          </w:tcPr>
          <w:p w14:paraId="17E954A6" w14:textId="77777777" w:rsidR="000B0403" w:rsidRDefault="000B0403" w:rsidP="000B0403">
            <w:pPr>
              <w:pStyle w:val="TableHeading"/>
              <w:spacing w:before="120"/>
            </w:pPr>
          </w:p>
        </w:tc>
        <w:tc>
          <w:tcPr>
            <w:tcW w:w="2806" w:type="dxa"/>
            <w:vMerge/>
          </w:tcPr>
          <w:p w14:paraId="6D611FB8" w14:textId="77777777" w:rsidR="000B0403" w:rsidRDefault="000B0403" w:rsidP="000B0403">
            <w:pPr>
              <w:pStyle w:val="TableBody"/>
            </w:pPr>
          </w:p>
        </w:tc>
        <w:tc>
          <w:tcPr>
            <w:tcW w:w="2104" w:type="dxa"/>
            <w:shd w:val="clear" w:color="auto" w:fill="A6CF64"/>
          </w:tcPr>
          <w:p w14:paraId="03EA3BE7" w14:textId="57272650" w:rsidR="000B0403" w:rsidRPr="00A1689E" w:rsidRDefault="000B0403" w:rsidP="000B0403">
            <w:pPr>
              <w:pStyle w:val="TableBody"/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A1689E"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I1.5</w:t>
            </w:r>
            <w:r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 xml:space="preserve"> (Y/N)</w:t>
            </w:r>
          </w:p>
        </w:tc>
        <w:tc>
          <w:tcPr>
            <w:tcW w:w="2054" w:type="dxa"/>
          </w:tcPr>
          <w:p w14:paraId="420AD79F" w14:textId="328A6FA8" w:rsidR="000B0403" w:rsidRDefault="000B0403" w:rsidP="000B0403">
            <w:pPr>
              <w:pStyle w:val="TableBody"/>
            </w:pPr>
          </w:p>
        </w:tc>
      </w:tr>
      <w:tr w:rsidR="000B0403" w14:paraId="5C547CA7" w14:textId="77777777" w:rsidTr="008678E3">
        <w:trPr>
          <w:trHeight w:val="436"/>
          <w:jc w:val="center"/>
        </w:trPr>
        <w:tc>
          <w:tcPr>
            <w:tcW w:w="1960" w:type="dxa"/>
            <w:vMerge/>
            <w:shd w:val="clear" w:color="auto" w:fill="A6CF64"/>
          </w:tcPr>
          <w:p w14:paraId="7A2DA0C8" w14:textId="77777777" w:rsidR="000B0403" w:rsidRDefault="000B0403" w:rsidP="000B0403">
            <w:pPr>
              <w:pStyle w:val="TableHeading"/>
              <w:spacing w:before="120"/>
            </w:pPr>
          </w:p>
        </w:tc>
        <w:tc>
          <w:tcPr>
            <w:tcW w:w="2806" w:type="dxa"/>
            <w:vMerge/>
          </w:tcPr>
          <w:p w14:paraId="437E0D65" w14:textId="77777777" w:rsidR="000B0403" w:rsidRDefault="000B0403" w:rsidP="000B0403">
            <w:pPr>
              <w:pStyle w:val="TableBody"/>
            </w:pPr>
          </w:p>
        </w:tc>
        <w:tc>
          <w:tcPr>
            <w:tcW w:w="2104" w:type="dxa"/>
            <w:shd w:val="clear" w:color="auto" w:fill="A6CF64"/>
          </w:tcPr>
          <w:p w14:paraId="55D4B588" w14:textId="77F0EB59" w:rsidR="000B0403" w:rsidRPr="00A1689E" w:rsidRDefault="000B0403" w:rsidP="000B0403">
            <w:pPr>
              <w:pStyle w:val="TableBody"/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b/>
                <w:color w:val="FFFFFF" w:themeColor="background1"/>
                <w14:textFill>
                  <w14:solidFill>
                    <w14:schemeClr w14:val="bg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I1.10 (Y/N)</w:t>
            </w:r>
          </w:p>
        </w:tc>
        <w:tc>
          <w:tcPr>
            <w:tcW w:w="2054" w:type="dxa"/>
          </w:tcPr>
          <w:p w14:paraId="5C44F414" w14:textId="77777777" w:rsidR="000B0403" w:rsidRDefault="000B0403" w:rsidP="000B0403">
            <w:pPr>
              <w:pStyle w:val="TableBody"/>
            </w:pPr>
          </w:p>
        </w:tc>
      </w:tr>
    </w:tbl>
    <w:p w14:paraId="59F2D1F5" w14:textId="7AD4A888" w:rsidR="00A16066" w:rsidRDefault="00A16066" w:rsidP="00C81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6066" w14:paraId="379ACF2B" w14:textId="77777777" w:rsidTr="008678E3">
        <w:trPr>
          <w:trHeight w:val="499"/>
        </w:trPr>
        <w:tc>
          <w:tcPr>
            <w:tcW w:w="9016" w:type="dxa"/>
            <w:shd w:val="clear" w:color="auto" w:fill="A6CF64"/>
          </w:tcPr>
          <w:p w14:paraId="4DD320B6" w14:textId="54DD8ECA" w:rsidR="00A16066" w:rsidRDefault="00304062" w:rsidP="00A1689E">
            <w:pPr>
              <w:pStyle w:val="TableHeading"/>
              <w:spacing w:before="120"/>
            </w:pPr>
            <w:r>
              <w:t>Current Process</w:t>
            </w:r>
          </w:p>
        </w:tc>
      </w:tr>
      <w:tr w:rsidR="00B87943" w14:paraId="31332C69" w14:textId="77777777" w:rsidTr="00427DB0">
        <w:tc>
          <w:tcPr>
            <w:tcW w:w="9016" w:type="dxa"/>
          </w:tcPr>
          <w:p w14:paraId="30B755D9" w14:textId="65486DCF" w:rsidR="00B87943" w:rsidRPr="00A1689E" w:rsidRDefault="00304062" w:rsidP="00A16066">
            <w:pPr>
              <w:pStyle w:val="TableBody"/>
              <w:rPr>
                <w:szCs w:val="20"/>
              </w:rPr>
            </w:pPr>
            <w:r>
              <w:rPr>
                <w:szCs w:val="20"/>
              </w:rPr>
              <w:t xml:space="preserve">Please summarise </w:t>
            </w:r>
            <w:r w:rsidR="00455607">
              <w:rPr>
                <w:szCs w:val="20"/>
              </w:rPr>
              <w:t>your current</w:t>
            </w:r>
            <w:r>
              <w:rPr>
                <w:szCs w:val="20"/>
              </w:rPr>
              <w:t xml:space="preserve"> Panel-approved processes for compliance with Section I</w:t>
            </w:r>
            <w:r w:rsidR="00B87943" w:rsidRPr="00A1689E">
              <w:rPr>
                <w:szCs w:val="20"/>
              </w:rPr>
              <w:t xml:space="preserve">? </w:t>
            </w:r>
          </w:p>
          <w:p w14:paraId="3789CCDB" w14:textId="5316C514" w:rsidR="00B87943" w:rsidRPr="000B0403" w:rsidRDefault="00B87943" w:rsidP="00A16066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Examples of changes may include:</w:t>
            </w:r>
          </w:p>
          <w:p w14:paraId="03C0CF98" w14:textId="52BBC4E2" w:rsidR="00B87943" w:rsidRPr="000B0403" w:rsidRDefault="000B0403" w:rsidP="00A16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We c</w:t>
            </w:r>
            <w:r w:rsidR="00B87943"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urrently 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operate</w:t>
            </w:r>
            <w:r w:rsidR="00B87943"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one approved method for compliance with 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I1.5,</w:t>
            </w:r>
            <w:r w:rsidR="00B87943"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which is via the consumer scanning in a utility bill. </w:t>
            </w:r>
          </w:p>
          <w:p w14:paraId="314C544C" w14:textId="087CEDD1" w:rsidR="00B87943" w:rsidRPr="000B0403" w:rsidRDefault="00D94E9B" w:rsidP="00A16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To discharge compliance with I</w:t>
            </w:r>
            <w:r w:rsidR="00B87943"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1.2 we currently request 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consumers to send </w:t>
            </w:r>
            <w:r w:rsidR="00B87943"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of consent requests to</w:t>
            </w:r>
            <w:r w:rsidR="00B87943"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us via email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. </w:t>
            </w:r>
          </w:p>
          <w:p w14:paraId="76960042" w14:textId="741E3493" w:rsidR="00B87943" w:rsidRPr="000B0403" w:rsidRDefault="00D94E9B" w:rsidP="00A168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We do not currently offer Type 2 Device joining functionality to consumers.</w:t>
            </w:r>
          </w:p>
          <w:p w14:paraId="211802E1" w14:textId="11A00935" w:rsidR="009B18A0" w:rsidRDefault="00B87943" w:rsidP="009B18A0">
            <w:pPr>
              <w:pStyle w:val="TableBody"/>
            </w:pPr>
            <w:r w:rsidRPr="00A1689E">
              <w:rPr>
                <w:szCs w:val="20"/>
              </w:rPr>
              <w:t xml:space="preserve">If there </w:t>
            </w:r>
            <w:r w:rsidR="008E7344">
              <w:rPr>
                <w:szCs w:val="20"/>
              </w:rPr>
              <w:t>are changes to multiple processes</w:t>
            </w:r>
            <w:r w:rsidR="00A1689E" w:rsidRPr="00A1689E">
              <w:rPr>
                <w:szCs w:val="20"/>
              </w:rPr>
              <w:t>,</w:t>
            </w:r>
            <w:r w:rsidRPr="00A1689E">
              <w:rPr>
                <w:szCs w:val="20"/>
              </w:rPr>
              <w:t xml:space="preserve"> please list these out individually</w:t>
            </w:r>
            <w:r w:rsidR="008E7344">
              <w:rPr>
                <w:szCs w:val="20"/>
              </w:rPr>
              <w:t>:</w:t>
            </w:r>
          </w:p>
        </w:tc>
      </w:tr>
      <w:tr w:rsidR="00304062" w14:paraId="769FD2DA" w14:textId="77777777" w:rsidTr="00427DB0">
        <w:tc>
          <w:tcPr>
            <w:tcW w:w="9016" w:type="dxa"/>
          </w:tcPr>
          <w:p w14:paraId="3020D533" w14:textId="77777777" w:rsidR="00304062" w:rsidRPr="00A1689E" w:rsidRDefault="00304062" w:rsidP="00A16066">
            <w:pPr>
              <w:pStyle w:val="TableBody"/>
              <w:rPr>
                <w:szCs w:val="20"/>
              </w:rPr>
            </w:pPr>
          </w:p>
        </w:tc>
      </w:tr>
      <w:tr w:rsidR="00304062" w14:paraId="397E11B0" w14:textId="77777777" w:rsidTr="00774ECE">
        <w:trPr>
          <w:trHeight w:val="434"/>
        </w:trPr>
        <w:tc>
          <w:tcPr>
            <w:tcW w:w="9016" w:type="dxa"/>
            <w:shd w:val="clear" w:color="auto" w:fill="A6CF64"/>
          </w:tcPr>
          <w:p w14:paraId="5A0CD617" w14:textId="5C110DE2" w:rsidR="00304062" w:rsidRPr="00A1689E" w:rsidRDefault="00304062" w:rsidP="00304062">
            <w:pPr>
              <w:pStyle w:val="TableHeading"/>
              <w:spacing w:before="120"/>
              <w:rPr>
                <w:szCs w:val="20"/>
              </w:rPr>
            </w:pPr>
            <w:r>
              <w:t>Nature of the Proposed Change(s)</w:t>
            </w:r>
          </w:p>
        </w:tc>
      </w:tr>
      <w:tr w:rsidR="00304062" w14:paraId="7CFF3584" w14:textId="77777777" w:rsidTr="00D94E9B">
        <w:trPr>
          <w:trHeight w:val="1027"/>
        </w:trPr>
        <w:tc>
          <w:tcPr>
            <w:tcW w:w="9016" w:type="dxa"/>
          </w:tcPr>
          <w:p w14:paraId="01DEAAB8" w14:textId="77777777" w:rsidR="00304062" w:rsidRPr="00A1689E" w:rsidRDefault="00304062" w:rsidP="00304062">
            <w:pPr>
              <w:pStyle w:val="TableBody"/>
              <w:rPr>
                <w:szCs w:val="20"/>
              </w:rPr>
            </w:pPr>
            <w:r w:rsidRPr="00A1689E">
              <w:rPr>
                <w:szCs w:val="20"/>
              </w:rPr>
              <w:t>What change</w:t>
            </w:r>
            <w:r>
              <w:rPr>
                <w:szCs w:val="20"/>
              </w:rPr>
              <w:t>(s)</w:t>
            </w:r>
            <w:r w:rsidRPr="00A1689E">
              <w:rPr>
                <w:szCs w:val="20"/>
              </w:rPr>
              <w:t xml:space="preserve"> do you want to make and how </w:t>
            </w:r>
            <w:r>
              <w:rPr>
                <w:szCs w:val="20"/>
              </w:rPr>
              <w:t>are your current processes affected</w:t>
            </w:r>
            <w:r w:rsidRPr="00A1689E">
              <w:rPr>
                <w:szCs w:val="20"/>
              </w:rPr>
              <w:t xml:space="preserve">? </w:t>
            </w:r>
          </w:p>
          <w:p w14:paraId="564816B4" w14:textId="77777777" w:rsidR="00304062" w:rsidRPr="000B0403" w:rsidRDefault="00304062" w:rsidP="00304062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Examples of changes may include:</w:t>
            </w:r>
          </w:p>
          <w:p w14:paraId="269BEAA2" w14:textId="69A0DD6D" w:rsidR="00304062" w:rsidRPr="000B0403" w:rsidRDefault="00304062" w:rsidP="003040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Our proposed change is to add another method</w:t>
            </w:r>
            <w:r w:rsidR="008E7344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for compliance with I1.5</w:t>
            </w: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8E7344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(consumer validation) </w:t>
            </w: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which is…</w:t>
            </w:r>
          </w:p>
          <w:p w14:paraId="46852144" w14:textId="1D34FD8E" w:rsidR="00304062" w:rsidRPr="000B0403" w:rsidRDefault="00304062" w:rsidP="003040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To discharge compliance with I</w:t>
            </w: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1.2 </w:t>
            </w:r>
            <w:r w:rsidR="008E7344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e now wish to </w:t>
            </w: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add a form on our website to allow consumers to request withdrawals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in this manner</w:t>
            </w: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, and this 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will be </w:t>
            </w:r>
            <w:r w:rsidRPr="000B0403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managed via… </w:t>
            </w:r>
          </w:p>
          <w:p w14:paraId="7C5A146D" w14:textId="51BB9EE6" w:rsidR="00304062" w:rsidRPr="000B0403" w:rsidRDefault="00304062" w:rsidP="003040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We now wish to expand the scope of our approved processes to include a process for </w:t>
            </w:r>
            <w:r w:rsidR="008E7344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Type 2 Device joining functionality to consumers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, which will be…</w:t>
            </w:r>
          </w:p>
          <w:p w14:paraId="348F6AC1" w14:textId="26CE9AED" w:rsidR="00304062" w:rsidRPr="00D94E9B" w:rsidRDefault="00304062" w:rsidP="00304062">
            <w:pPr>
              <w:pStyle w:val="TableBody"/>
              <w:rPr>
                <w:i/>
                <w:iCs/>
              </w:rPr>
            </w:pPr>
            <w:r w:rsidRPr="00A1689E">
              <w:rPr>
                <w:szCs w:val="20"/>
              </w:rPr>
              <w:t>If there is more than one change, please list these out individually.</w:t>
            </w:r>
          </w:p>
        </w:tc>
      </w:tr>
      <w:tr w:rsidR="008E7344" w14:paraId="7FE7A72B" w14:textId="77777777" w:rsidTr="00D94E9B">
        <w:trPr>
          <w:trHeight w:val="1027"/>
        </w:trPr>
        <w:tc>
          <w:tcPr>
            <w:tcW w:w="9016" w:type="dxa"/>
          </w:tcPr>
          <w:p w14:paraId="51FD5D0D" w14:textId="77777777" w:rsidR="008E7344" w:rsidRPr="00A1689E" w:rsidRDefault="008E7344" w:rsidP="00304062">
            <w:pPr>
              <w:pStyle w:val="TableBody"/>
              <w:rPr>
                <w:szCs w:val="20"/>
              </w:rPr>
            </w:pPr>
          </w:p>
        </w:tc>
      </w:tr>
      <w:tr w:rsidR="00304062" w14:paraId="4DCE6BAC" w14:textId="77777777" w:rsidTr="008678E3">
        <w:trPr>
          <w:trHeight w:val="521"/>
        </w:trPr>
        <w:tc>
          <w:tcPr>
            <w:tcW w:w="9016" w:type="dxa"/>
            <w:shd w:val="clear" w:color="auto" w:fill="A6CF64"/>
          </w:tcPr>
          <w:p w14:paraId="48FDDB2F" w14:textId="40AF4F4E" w:rsidR="00304062" w:rsidRDefault="00304062" w:rsidP="00304062">
            <w:pPr>
              <w:pStyle w:val="TableHeading"/>
              <w:spacing w:before="120"/>
            </w:pPr>
            <w:r>
              <w:lastRenderedPageBreak/>
              <w:t>Supporting Documentation</w:t>
            </w:r>
          </w:p>
        </w:tc>
      </w:tr>
      <w:tr w:rsidR="00304062" w14:paraId="1AA8D494" w14:textId="77777777" w:rsidTr="003A69FC">
        <w:tc>
          <w:tcPr>
            <w:tcW w:w="9016" w:type="dxa"/>
          </w:tcPr>
          <w:p w14:paraId="0179045B" w14:textId="4CDC93F9" w:rsidR="00304062" w:rsidRDefault="00304062" w:rsidP="00304062">
            <w:pPr>
              <w:pStyle w:val="TableBody"/>
            </w:pPr>
            <w:r>
              <w:rPr>
                <w:szCs w:val="20"/>
              </w:rPr>
              <w:t>Please submit supporting</w:t>
            </w:r>
            <w:r w:rsidRPr="009B18A0">
              <w:rPr>
                <w:szCs w:val="20"/>
              </w:rPr>
              <w:t xml:space="preserve"> </w:t>
            </w:r>
            <w:r>
              <w:rPr>
                <w:szCs w:val="20"/>
              </w:rPr>
              <w:t>documentation</w:t>
            </w:r>
            <w:r w:rsidRPr="009B18A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which documents your proposed approach to discharging compliance </w:t>
            </w:r>
            <w:proofErr w:type="gramStart"/>
            <w:r>
              <w:rPr>
                <w:szCs w:val="20"/>
              </w:rPr>
              <w:t>subsequent to</w:t>
            </w:r>
            <w:proofErr w:type="gramEnd"/>
            <w:r>
              <w:rPr>
                <w:szCs w:val="20"/>
              </w:rPr>
              <w:t xml:space="preserve"> your proposed change.</w:t>
            </w:r>
            <w:r w:rsidRPr="009B18A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should include any policies, processes or procedures which need to be updated and/or created </w:t>
            </w:r>
            <w:proofErr w:type="gramStart"/>
            <w:r>
              <w:rPr>
                <w:szCs w:val="20"/>
              </w:rPr>
              <w:t>as a result of</w:t>
            </w:r>
            <w:proofErr w:type="gramEnd"/>
            <w:r>
              <w:rPr>
                <w:szCs w:val="20"/>
              </w:rPr>
              <w:t xml:space="preserve"> the proposed change.</w:t>
            </w:r>
          </w:p>
        </w:tc>
      </w:tr>
    </w:tbl>
    <w:p w14:paraId="18FD504A" w14:textId="77777777" w:rsidR="009B18A0" w:rsidRDefault="009B18A0" w:rsidP="00D94E9B"/>
    <w:p w14:paraId="193001F8" w14:textId="77777777" w:rsidR="0037654D" w:rsidRPr="00881401" w:rsidRDefault="00582065" w:rsidP="00582065">
      <w:pPr>
        <w:spacing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81401">
        <w:rPr>
          <w:rFonts w:ascii="Arial" w:hAnsi="Arial" w:cs="Arial"/>
          <w:color w:val="404040" w:themeColor="text1" w:themeTint="BF"/>
          <w:sz w:val="20"/>
          <w:szCs w:val="20"/>
        </w:rPr>
        <w:t xml:space="preserve">Please note where SECAS and the User IPA have deemed </w:t>
      </w:r>
      <w:proofErr w:type="spellStart"/>
      <w:r w:rsidRPr="00881401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spellEnd"/>
      <w:r w:rsidRPr="00881401">
        <w:rPr>
          <w:rFonts w:ascii="Arial" w:hAnsi="Arial" w:cs="Arial"/>
          <w:color w:val="404040" w:themeColor="text1" w:themeTint="BF"/>
          <w:sz w:val="20"/>
          <w:szCs w:val="20"/>
        </w:rPr>
        <w:t xml:space="preserve"> change to be material, SECAS will make all best endeavours to schedule in a Privacy Change Assessment within the subsequent </w:t>
      </w:r>
      <w:r w:rsidRPr="00881401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four weeks.</w:t>
      </w:r>
      <w:r w:rsidR="0037654D" w:rsidRPr="00881401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00CDF23C" w14:textId="39831E44" w:rsidR="00582065" w:rsidRPr="00881401" w:rsidRDefault="0037654D" w:rsidP="00582065">
      <w:pPr>
        <w:spacing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81401">
        <w:rPr>
          <w:rFonts w:ascii="Arial" w:hAnsi="Arial" w:cs="Arial"/>
          <w:color w:val="404040" w:themeColor="text1" w:themeTint="BF"/>
          <w:sz w:val="20"/>
          <w:szCs w:val="20"/>
        </w:rPr>
        <w:t>However, the availability to schedule in a Privacy Change Assessment is subject to change and dependant on the schedule of annual User Security and Privacy Assessments. Therefore, in rare cases, a maximum period of 12 weeks may be required to schedule a Privacy Change Assessment.</w:t>
      </w:r>
    </w:p>
    <w:sectPr w:rsidR="00582065" w:rsidRPr="00881401" w:rsidSect="008678E3">
      <w:headerReference w:type="default" r:id="rId12"/>
      <w:footerReference w:type="default" r:id="rId13"/>
      <w:pgSz w:w="11906" w:h="16838"/>
      <w:pgMar w:top="144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3A6" w14:textId="77777777" w:rsidR="00FC7122" w:rsidRDefault="00FC7122" w:rsidP="009F6286">
      <w:pPr>
        <w:spacing w:after="0" w:line="240" w:lineRule="auto"/>
      </w:pPr>
      <w:r>
        <w:separator/>
      </w:r>
    </w:p>
  </w:endnote>
  <w:endnote w:type="continuationSeparator" w:id="0">
    <w:p w14:paraId="53F56787" w14:textId="77777777" w:rsidR="00FC7122" w:rsidRDefault="00FC7122" w:rsidP="009F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9C07" w14:textId="61F6D44E" w:rsidR="008678E3" w:rsidRDefault="008678E3" w:rsidP="008678E3">
    <w:pPr>
      <w:pStyle w:val="Footer"/>
      <w:jc w:val="center"/>
    </w:pPr>
    <w:r>
      <w:rPr>
        <w:rFonts w:cs="Arial"/>
        <w:noProof/>
        <w:color w:val="595959" w:themeColor="text1" w:themeTint="A6"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553BAB79" wp14:editId="387AD732">
          <wp:simplePos x="0" y="0"/>
          <wp:positionH relativeFrom="column">
            <wp:posOffset>2211070</wp:posOffset>
          </wp:positionH>
          <wp:positionV relativeFrom="paragraph">
            <wp:posOffset>-580390</wp:posOffset>
          </wp:positionV>
          <wp:extent cx="1308100" cy="749300"/>
          <wp:effectExtent l="0" t="0" r="6350" b="0"/>
          <wp:wrapTight wrapText="bothSides">
            <wp:wrapPolygon edited="0">
              <wp:start x="6291" y="0"/>
              <wp:lineTo x="6291" y="1647"/>
              <wp:lineTo x="8493" y="8786"/>
              <wp:lineTo x="1887" y="12081"/>
              <wp:lineTo x="629" y="13729"/>
              <wp:lineTo x="1573" y="19220"/>
              <wp:lineTo x="20132" y="19220"/>
              <wp:lineTo x="20132" y="17573"/>
              <wp:lineTo x="21390" y="14278"/>
              <wp:lineTo x="20447" y="13180"/>
              <wp:lineTo x="12583" y="8786"/>
              <wp:lineTo x="14784" y="4393"/>
              <wp:lineTo x="15414" y="549"/>
              <wp:lineTo x="14470" y="0"/>
              <wp:lineTo x="6291" y="0"/>
            </wp:wrapPolygon>
          </wp:wrapTight>
          <wp:docPr id="26" name="Picture 26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emser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F984" w14:textId="77777777" w:rsidR="00FC7122" w:rsidRDefault="00FC7122" w:rsidP="009F6286">
      <w:pPr>
        <w:spacing w:after="0" w:line="240" w:lineRule="auto"/>
      </w:pPr>
      <w:r>
        <w:separator/>
      </w:r>
    </w:p>
  </w:footnote>
  <w:footnote w:type="continuationSeparator" w:id="0">
    <w:p w14:paraId="20E0FF6A" w14:textId="77777777" w:rsidR="00FC7122" w:rsidRDefault="00FC7122" w:rsidP="009F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F9EF" w14:textId="77777777" w:rsidR="009F6286" w:rsidRDefault="009F6286" w:rsidP="009F6286">
    <w:pPr>
      <w:pStyle w:val="FooterText"/>
    </w:pPr>
    <w:r w:rsidRPr="0099500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781717" wp14:editId="241A99A2">
          <wp:simplePos x="0" y="0"/>
          <wp:positionH relativeFrom="margin">
            <wp:posOffset>4777740</wp:posOffset>
          </wp:positionH>
          <wp:positionV relativeFrom="paragraph">
            <wp:posOffset>-147016</wp:posOffset>
          </wp:positionV>
          <wp:extent cx="1457325" cy="1047750"/>
          <wp:effectExtent l="0" t="0" r="9525" b="0"/>
          <wp:wrapNone/>
          <wp:docPr id="2" name="Picture 2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2249C" w14:textId="7499110A" w:rsidR="009F6286" w:rsidRDefault="009F6286" w:rsidP="009F6286">
    <w:pPr>
      <w:pStyle w:val="FooterText"/>
    </w:pPr>
  </w:p>
  <w:p w14:paraId="2F2F9216" w14:textId="4F042DBC" w:rsidR="008678E3" w:rsidRDefault="008678E3" w:rsidP="009F6286">
    <w:pPr>
      <w:pStyle w:val="FooterText"/>
    </w:pPr>
  </w:p>
  <w:p w14:paraId="6E5B53AB" w14:textId="77777777" w:rsidR="008678E3" w:rsidRDefault="008678E3" w:rsidP="009F6286">
    <w:pPr>
      <w:pStyle w:val="FooterText"/>
    </w:pPr>
  </w:p>
  <w:p w14:paraId="090345E6" w14:textId="77777777" w:rsidR="009F6286" w:rsidRDefault="009F6286" w:rsidP="009F6286">
    <w:pPr>
      <w:pStyle w:val="FooterText"/>
    </w:pPr>
  </w:p>
  <w:p w14:paraId="303D5D4A" w14:textId="77777777" w:rsidR="009F6286" w:rsidRDefault="009F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CC4"/>
    <w:multiLevelType w:val="hybridMultilevel"/>
    <w:tmpl w:val="99B6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731"/>
    <w:multiLevelType w:val="hybridMultilevel"/>
    <w:tmpl w:val="0038A14E"/>
    <w:lvl w:ilvl="0" w:tplc="16BA5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52F0"/>
    <w:multiLevelType w:val="hybridMultilevel"/>
    <w:tmpl w:val="0DF4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6"/>
    <w:rsid w:val="000446EC"/>
    <w:rsid w:val="000B0403"/>
    <w:rsid w:val="000E679B"/>
    <w:rsid w:val="00172221"/>
    <w:rsid w:val="00283E99"/>
    <w:rsid w:val="002F2D68"/>
    <w:rsid w:val="00304062"/>
    <w:rsid w:val="00334013"/>
    <w:rsid w:val="0037654D"/>
    <w:rsid w:val="003A3585"/>
    <w:rsid w:val="00455607"/>
    <w:rsid w:val="00582065"/>
    <w:rsid w:val="005E2577"/>
    <w:rsid w:val="005F0A50"/>
    <w:rsid w:val="006C6FB7"/>
    <w:rsid w:val="00774ECE"/>
    <w:rsid w:val="007A7F9B"/>
    <w:rsid w:val="008678E3"/>
    <w:rsid w:val="00881401"/>
    <w:rsid w:val="00883EF2"/>
    <w:rsid w:val="008E4D84"/>
    <w:rsid w:val="008E7344"/>
    <w:rsid w:val="009B18A0"/>
    <w:rsid w:val="009D5C84"/>
    <w:rsid w:val="009F6286"/>
    <w:rsid w:val="00A16066"/>
    <w:rsid w:val="00A1689E"/>
    <w:rsid w:val="00A56C87"/>
    <w:rsid w:val="00B476BD"/>
    <w:rsid w:val="00B87943"/>
    <w:rsid w:val="00C8160C"/>
    <w:rsid w:val="00D44E2A"/>
    <w:rsid w:val="00D55C33"/>
    <w:rsid w:val="00D94E9B"/>
    <w:rsid w:val="00DD199C"/>
    <w:rsid w:val="00EB03B4"/>
    <w:rsid w:val="00F207BA"/>
    <w:rsid w:val="00F322D3"/>
    <w:rsid w:val="00F720CF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0283B"/>
  <w15:chartTrackingRefBased/>
  <w15:docId w15:val="{7A93EDA5-CD75-40F1-AC65-E2C28A32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86"/>
  </w:style>
  <w:style w:type="paragraph" w:styleId="Footer">
    <w:name w:val="footer"/>
    <w:basedOn w:val="Normal"/>
    <w:link w:val="FooterChar"/>
    <w:uiPriority w:val="99"/>
    <w:unhideWhenUsed/>
    <w:rsid w:val="009F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86"/>
  </w:style>
  <w:style w:type="paragraph" w:customStyle="1" w:styleId="FooterText">
    <w:name w:val="Footer Text"/>
    <w:basedOn w:val="Normal"/>
    <w:uiPriority w:val="6"/>
    <w:qFormat/>
    <w:rsid w:val="009F6286"/>
    <w:pPr>
      <w:tabs>
        <w:tab w:val="right" w:pos="9638"/>
      </w:tabs>
      <w:spacing w:after="0" w:line="240" w:lineRule="auto"/>
    </w:pPr>
    <w:rPr>
      <w:rFonts w:ascii="Arial" w:hAnsi="Arial" w:cs="Arial"/>
      <w:color w:val="000000" w:themeColor="text1"/>
      <w:sz w:val="18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ReportTitle">
    <w:name w:val="Report Title"/>
    <w:basedOn w:val="Normal"/>
    <w:uiPriority w:val="3"/>
    <w:qFormat/>
    <w:rsid w:val="009F6286"/>
    <w:pPr>
      <w:spacing w:after="0" w:line="240" w:lineRule="auto"/>
    </w:pPr>
    <w:rPr>
      <w:rFonts w:ascii="Arial" w:hAnsi="Arial" w:cs="Arial"/>
      <w:color w:val="FFFFFF" w:themeColor="background1" w:themeTint="BF"/>
      <w:sz w:val="36"/>
    </w:rPr>
  </w:style>
  <w:style w:type="table" w:styleId="TableGrid">
    <w:name w:val="Table Grid"/>
    <w:basedOn w:val="TableNormal"/>
    <w:uiPriority w:val="39"/>
    <w:rsid w:val="009F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4"/>
    <w:qFormat/>
    <w:rsid w:val="009F6286"/>
    <w:pPr>
      <w:spacing w:before="100" w:after="100" w:line="240" w:lineRule="auto"/>
    </w:pPr>
    <w:rPr>
      <w:rFonts w:ascii="Arial" w:hAnsi="Arial" w:cs="Arial"/>
      <w:color w:val="404040" w:themeColor="text1" w:themeTint="BF"/>
      <w:sz w:val="20"/>
    </w:rPr>
  </w:style>
  <w:style w:type="paragraph" w:customStyle="1" w:styleId="TableHeading">
    <w:name w:val="Table Heading"/>
    <w:basedOn w:val="Normal"/>
    <w:uiPriority w:val="3"/>
    <w:qFormat/>
    <w:rsid w:val="009F6286"/>
    <w:pPr>
      <w:spacing w:before="160" w:line="240" w:lineRule="auto"/>
    </w:pPr>
    <w:rPr>
      <w:rFonts w:ascii="Arial" w:hAnsi="Arial" w:cs="Arial"/>
      <w:b/>
      <w:color w:val="FFFFFF" w:themeColor="background1"/>
      <w:sz w:val="20"/>
      <w14:textFill>
        <w14:solidFill>
          <w14:schemeClr w14:val="bg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28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9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EC Bullet Point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B87943"/>
    <w:pPr>
      <w:ind w:left="720"/>
      <w:contextualSpacing/>
    </w:pPr>
  </w:style>
  <w:style w:type="character" w:customStyle="1" w:styleId="ListParagraphChar">
    <w:name w:val="List Paragraph Char"/>
    <w:aliases w:val="SEC Bullet Point Char,Dot pt Char,No Spacing1 Char,List Paragraph Char Char Char Char,Indicator Text Char,Numbered Para 1 Char,List Paragraph1 Char,Bullet 1 Char,Bullet Points Char,MAIN CONTENT Char,List Paragraph12 Char"/>
    <w:link w:val="ListParagraph"/>
    <w:uiPriority w:val="34"/>
    <w:qFormat/>
    <w:locked/>
    <w:rsid w:val="009B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66D072EF7CE499869A57962EEDEF5" ma:contentTypeVersion="12" ma:contentTypeDescription="Create a new document." ma:contentTypeScope="" ma:versionID="79d9f7383f118cf31898e459d3e0e52a">
  <xsd:schema xmlns:xsd="http://www.w3.org/2001/XMLSchema" xmlns:xs="http://www.w3.org/2001/XMLSchema" xmlns:p="http://schemas.microsoft.com/office/2006/metadata/properties" xmlns:ns2="c7dccf3f-008e-465c-9e46-b3283d304c80" xmlns:ns3="d5e8df70-7ba7-462a-92bc-0eb2af61e599" targetNamespace="http://schemas.microsoft.com/office/2006/metadata/properties" ma:root="true" ma:fieldsID="3cd69e9aa4caa4935724a770b9fa2fe0" ns2:_="" ns3:_="">
    <xsd:import namespace="c7dccf3f-008e-465c-9e46-b3283d304c80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ccf3f-008e-465c-9e46-b3283d30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8432E-02DF-47A9-89D8-38C2D4FAD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76CFE-D6D9-4F8E-9DC8-879B557BF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8CA74-46CA-4B3C-BE2D-637A0CEFF66D}"/>
</file>

<file path=customXml/itemProps4.xml><?xml version="1.0" encoding="utf-8"?>
<ds:datastoreItem xmlns:ds="http://schemas.openxmlformats.org/officeDocument/2006/customXml" ds:itemID="{2F887B35-877B-452C-AB84-F8FB00ADC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edwardmeadowcroft</dc:creator>
  <cp:keywords/>
  <dc:description/>
  <cp:lastModifiedBy>James Hosen</cp:lastModifiedBy>
  <cp:revision>5</cp:revision>
  <dcterms:created xsi:type="dcterms:W3CDTF">2021-12-06T16:23:00Z</dcterms:created>
  <dcterms:modified xsi:type="dcterms:W3CDTF">2022-01-04T15:12:00Z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2021-04-06T15:00:40Z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fe4ba33c-d4cd-47a3-b2cb-685891f702b2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0x01010073366D072EF7CE499869A57962EEDEF5</vt:lpwstr>
  </property>
</Properties>
</file>