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FD814" w14:textId="15C89AFF" w:rsidR="003423F3" w:rsidRDefault="003423F3" w:rsidP="003423F3">
      <w:pPr>
        <w:pStyle w:val="SECPaperTitle"/>
        <w:spacing w:before="0" w:after="240"/>
        <w:rPr>
          <w:sz w:val="30"/>
          <w:szCs w:val="30"/>
        </w:rPr>
      </w:pPr>
      <w:r>
        <w:rPr>
          <w:noProof/>
          <w:lang w:eastAsia="en-GB"/>
        </w:rPr>
        <mc:AlternateContent>
          <mc:Choice Requires="wps">
            <w:drawing>
              <wp:anchor distT="45720" distB="45720" distL="114300" distR="114300" simplePos="0" relativeHeight="251661312" behindDoc="0" locked="0" layoutInCell="1" allowOverlap="1" wp14:anchorId="471CF36B" wp14:editId="3CB33433">
                <wp:simplePos x="0" y="0"/>
                <wp:positionH relativeFrom="margin">
                  <wp:align>left</wp:align>
                </wp:positionH>
                <wp:positionV relativeFrom="paragraph">
                  <wp:posOffset>0</wp:posOffset>
                </wp:positionV>
                <wp:extent cx="5770880" cy="466725"/>
                <wp:effectExtent l="0" t="0" r="2032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66725"/>
                        </a:xfrm>
                        <a:prstGeom prst="rect">
                          <a:avLst/>
                        </a:prstGeom>
                        <a:solidFill>
                          <a:srgbClr val="FFFFFF"/>
                        </a:solidFill>
                        <a:ln w="9525">
                          <a:solidFill>
                            <a:srgbClr val="000000"/>
                          </a:solidFill>
                          <a:miter lim="800000"/>
                          <a:headEnd/>
                          <a:tailEnd/>
                        </a:ln>
                      </wps:spPr>
                      <wps:txbx>
                        <w:txbxContent>
                          <w:p w14:paraId="1839FB94"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03752441" w14:textId="77777777" w:rsidR="003423F3" w:rsidRPr="003D092C" w:rsidRDefault="003423F3" w:rsidP="003423F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CF36B" id="_x0000_t202" coordsize="21600,21600" o:spt="202" path="m,l,21600r21600,l21600,xe">
                <v:stroke joinstyle="miter"/>
                <v:path gradientshapeok="t" o:connecttype="rect"/>
              </v:shapetype>
              <v:shape id="Text Box 2" o:spid="_x0000_s1026" type="#_x0000_t202" style="position:absolute;left:0;text-align:left;margin-left:0;margin-top:0;width:454.4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">
                <v:textbox>
                  <w:txbxContent>
                    <w:p w14:paraId="1839FB94"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03752441" w14:textId="77777777" w:rsidR="003423F3" w:rsidRPr="003D092C" w:rsidRDefault="003423F3" w:rsidP="003423F3">
                      <w:pPr>
                        <w:rPr>
                          <w:sz w:val="24"/>
                        </w:rPr>
                      </w:pPr>
                    </w:p>
                  </w:txbxContent>
                </v:textbox>
                <w10:wrap type="square" anchorx="margin"/>
              </v:shape>
            </w:pict>
          </mc:Fallback>
        </mc:AlternateContent>
      </w:r>
      <w:r w:rsidR="00A1169C">
        <w:rPr>
          <w:noProof/>
          <w:lang w:eastAsia="en-GB"/>
        </w:rPr>
        <w:t>MP1</w:t>
      </w:r>
      <w:r w:rsidR="00E6727F">
        <w:rPr>
          <w:noProof/>
          <w:lang w:eastAsia="en-GB"/>
        </w:rPr>
        <w:t>16</w:t>
      </w:r>
      <w:r>
        <w:rPr>
          <w:sz w:val="30"/>
          <w:szCs w:val="30"/>
        </w:rPr>
        <w:t xml:space="preserve"> ‘</w:t>
      </w:r>
      <w:r w:rsidR="00E6727F">
        <w:rPr>
          <w:sz w:val="30"/>
          <w:szCs w:val="30"/>
        </w:rPr>
        <w:t>Service Request Forecasting</w:t>
      </w:r>
      <w:r w:rsidR="00A1169C">
        <w:rPr>
          <w:sz w:val="30"/>
          <w:szCs w:val="30"/>
        </w:rPr>
        <w:t>’</w:t>
      </w:r>
    </w:p>
    <w:p w14:paraId="4AF16256" w14:textId="7062615B" w:rsidR="00B13710" w:rsidRDefault="003B12CA" w:rsidP="00B13710">
      <w:pPr>
        <w:pStyle w:val="SECPaperTitle"/>
        <w:spacing w:before="0" w:after="240"/>
        <w:rPr>
          <w:sz w:val="30"/>
          <w:szCs w:val="30"/>
        </w:rPr>
      </w:pPr>
      <w:r>
        <w:rPr>
          <w:sz w:val="30"/>
          <w:szCs w:val="30"/>
        </w:rPr>
        <w:t>March 2021</w:t>
      </w:r>
      <w:r w:rsidR="00B13710">
        <w:rPr>
          <w:sz w:val="30"/>
          <w:szCs w:val="30"/>
        </w:rPr>
        <w:t xml:space="preserve"> </w:t>
      </w:r>
      <w:r w:rsidR="003423F3">
        <w:rPr>
          <w:sz w:val="30"/>
          <w:szCs w:val="30"/>
        </w:rPr>
        <w:t xml:space="preserve">Working Group </w:t>
      </w:r>
      <w:r w:rsidR="000C423C">
        <w:rPr>
          <w:sz w:val="30"/>
          <w:szCs w:val="30"/>
        </w:rPr>
        <w:t xml:space="preserve">– </w:t>
      </w:r>
      <w:r w:rsidR="002A76CA">
        <w:rPr>
          <w:sz w:val="30"/>
          <w:szCs w:val="30"/>
        </w:rPr>
        <w:t>me</w:t>
      </w:r>
      <w:r w:rsidR="003423F3" w:rsidRPr="008E76FA">
        <w:rPr>
          <w:sz w:val="30"/>
          <w:szCs w:val="30"/>
        </w:rPr>
        <w:t>eting</w:t>
      </w:r>
      <w:r w:rsidR="002A76CA">
        <w:rPr>
          <w:sz w:val="30"/>
          <w:szCs w:val="30"/>
        </w:rPr>
        <w:t xml:space="preserve"> summary</w:t>
      </w:r>
    </w:p>
    <w:p w14:paraId="29566CD0" w14:textId="419BABFB" w:rsidR="00564EBA" w:rsidRDefault="00564EBA" w:rsidP="00387635">
      <w:pPr>
        <w:pStyle w:val="Subtitle"/>
      </w:pPr>
      <w:r>
        <w:t>Attendees</w:t>
      </w:r>
    </w:p>
    <w:tbl>
      <w:tblPr>
        <w:tblStyle w:val="TableGrid11"/>
        <w:tblW w:w="2906" w:type="pct"/>
        <w:jc w:val="center"/>
        <w:tblInd w:w="0" w:type="dxa"/>
        <w:tblLook w:val="04A0" w:firstRow="1" w:lastRow="0" w:firstColumn="1" w:lastColumn="0" w:noHBand="0" w:noVBand="1"/>
      </w:tblPr>
      <w:tblGrid>
        <w:gridCol w:w="3005"/>
        <w:gridCol w:w="2235"/>
      </w:tblGrid>
      <w:tr w:rsidR="00E152A7" w:rsidRPr="00EA5CE8" w14:paraId="6887B555" w14:textId="77777777" w:rsidTr="00AB0CFD">
        <w:trPr>
          <w:trHeight w:val="514"/>
          <w:jc w:val="center"/>
        </w:trPr>
        <w:tc>
          <w:tcPr>
            <w:tcW w:w="2867" w:type="pct"/>
            <w:tcBorders>
              <w:top w:val="single" w:sz="4" w:space="0" w:color="auto"/>
              <w:left w:val="single" w:sz="4" w:space="0" w:color="auto"/>
              <w:bottom w:val="single" w:sz="4" w:space="0" w:color="auto"/>
              <w:right w:val="single" w:sz="4" w:space="0" w:color="auto"/>
            </w:tcBorders>
            <w:shd w:val="clear" w:color="auto" w:fill="17A800"/>
            <w:vAlign w:val="center"/>
          </w:tcPr>
          <w:p w14:paraId="0CCC3F64" w14:textId="77777777" w:rsidR="00E152A7" w:rsidRPr="00EA5CE8" w:rsidRDefault="00E152A7" w:rsidP="00AB0CFD">
            <w:pPr>
              <w:jc w:val="center"/>
              <w:rPr>
                <w:rFonts w:cs="Arial"/>
                <w:b/>
                <w:color w:val="FFFFFF"/>
                <w:lang w:eastAsia="en-GB"/>
              </w:rPr>
            </w:pPr>
            <w:r w:rsidRPr="00EA5CE8">
              <w:rPr>
                <w:rFonts w:cs="Arial"/>
                <w:b/>
                <w:color w:val="FFFFFF"/>
                <w:lang w:eastAsia="en-GB"/>
              </w:rPr>
              <w:t>Attendee</w:t>
            </w:r>
          </w:p>
        </w:tc>
        <w:tc>
          <w:tcPr>
            <w:tcW w:w="2133" w:type="pct"/>
            <w:tcBorders>
              <w:top w:val="single" w:sz="4" w:space="0" w:color="auto"/>
              <w:left w:val="single" w:sz="4" w:space="0" w:color="auto"/>
              <w:bottom w:val="single" w:sz="4" w:space="0" w:color="auto"/>
              <w:right w:val="single" w:sz="4" w:space="0" w:color="auto"/>
            </w:tcBorders>
            <w:shd w:val="clear" w:color="auto" w:fill="17A800"/>
            <w:vAlign w:val="center"/>
          </w:tcPr>
          <w:p w14:paraId="12A895CE" w14:textId="77777777" w:rsidR="00E152A7" w:rsidRPr="00EA5CE8" w:rsidRDefault="00E152A7" w:rsidP="00AB0CFD">
            <w:pPr>
              <w:jc w:val="center"/>
              <w:rPr>
                <w:rFonts w:cs="Arial"/>
                <w:b/>
                <w:color w:val="FFFFFF"/>
                <w:lang w:eastAsia="en-GB"/>
              </w:rPr>
            </w:pPr>
            <w:r w:rsidRPr="00EA5CE8">
              <w:rPr>
                <w:rFonts w:cs="Arial"/>
                <w:b/>
                <w:color w:val="FFFFFF"/>
                <w:lang w:eastAsia="en-GB"/>
              </w:rPr>
              <w:t>Organisation</w:t>
            </w:r>
          </w:p>
        </w:tc>
      </w:tr>
      <w:tr w:rsidR="00E152A7" w:rsidRPr="00EA5CE8" w14:paraId="48E6B1A3"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3944723E" w14:textId="77777777" w:rsidR="00E152A7" w:rsidRPr="00EA5CE8" w:rsidRDefault="00E152A7" w:rsidP="00AB0CFD">
            <w:pPr>
              <w:spacing w:before="30" w:after="30" w:line="276" w:lineRule="auto"/>
              <w:rPr>
                <w:rFonts w:eastAsia="Calibri" w:cs="Arial"/>
                <w:color w:val="404040"/>
                <w:szCs w:val="20"/>
                <w:lang w:eastAsia="en-GB"/>
              </w:rPr>
            </w:pPr>
            <w:r w:rsidRPr="00EA5CE8">
              <w:rPr>
                <w:rFonts w:eastAsia="Calibri" w:cs="Arial"/>
                <w:color w:val="404040"/>
                <w:szCs w:val="20"/>
                <w:lang w:eastAsia="en-GB"/>
              </w:rPr>
              <w:t>Ali Beard</w:t>
            </w:r>
          </w:p>
        </w:tc>
        <w:tc>
          <w:tcPr>
            <w:tcW w:w="2133" w:type="pct"/>
            <w:tcBorders>
              <w:top w:val="single" w:sz="4" w:space="0" w:color="auto"/>
              <w:left w:val="single" w:sz="4" w:space="0" w:color="auto"/>
              <w:bottom w:val="single" w:sz="4" w:space="0" w:color="auto"/>
              <w:right w:val="single" w:sz="4" w:space="0" w:color="auto"/>
            </w:tcBorders>
          </w:tcPr>
          <w:p w14:paraId="11DF91BD" w14:textId="77777777" w:rsidR="00E152A7" w:rsidRPr="00EA5CE8" w:rsidRDefault="00E152A7" w:rsidP="00AB0CFD">
            <w:pPr>
              <w:spacing w:before="30" w:after="30" w:line="276" w:lineRule="auto"/>
              <w:rPr>
                <w:rFonts w:eastAsia="Calibri" w:cs="Times New Roman"/>
                <w:color w:val="404040"/>
                <w:lang w:eastAsia="en-GB"/>
              </w:rPr>
            </w:pPr>
            <w:r w:rsidRPr="00EA5CE8">
              <w:rPr>
                <w:rFonts w:eastAsia="Calibri" w:cs="Times New Roman"/>
                <w:color w:val="404040"/>
                <w:lang w:eastAsia="en-GB"/>
              </w:rPr>
              <w:t>SECAS</w:t>
            </w:r>
          </w:p>
        </w:tc>
      </w:tr>
      <w:tr w:rsidR="00397755" w:rsidRPr="00EA5CE8" w14:paraId="7CF3291D"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21A22FDC" w14:textId="7C733E5D" w:rsidR="00397755" w:rsidRPr="00EA5CE8" w:rsidRDefault="00397755" w:rsidP="00AB0CFD">
            <w:pPr>
              <w:spacing w:before="30" w:after="30"/>
              <w:rPr>
                <w:rFonts w:eastAsia="Calibri" w:cs="Arial"/>
                <w:color w:val="404040"/>
                <w:szCs w:val="20"/>
                <w:lang w:eastAsia="en-GB"/>
              </w:rPr>
            </w:pPr>
            <w:r>
              <w:rPr>
                <w:rFonts w:eastAsia="Calibri" w:cs="Arial"/>
                <w:color w:val="404040"/>
                <w:szCs w:val="20"/>
                <w:lang w:eastAsia="en-GB"/>
              </w:rPr>
              <w:t>Khaleda Hussain</w:t>
            </w:r>
          </w:p>
        </w:tc>
        <w:tc>
          <w:tcPr>
            <w:tcW w:w="2133" w:type="pct"/>
            <w:tcBorders>
              <w:top w:val="single" w:sz="4" w:space="0" w:color="auto"/>
              <w:left w:val="single" w:sz="4" w:space="0" w:color="auto"/>
              <w:bottom w:val="single" w:sz="4" w:space="0" w:color="auto"/>
              <w:right w:val="single" w:sz="4" w:space="0" w:color="auto"/>
            </w:tcBorders>
          </w:tcPr>
          <w:p w14:paraId="6612DE9D" w14:textId="352050D1" w:rsidR="00397755" w:rsidRPr="00EA5CE8" w:rsidRDefault="00397755" w:rsidP="00AB0CFD">
            <w:pPr>
              <w:spacing w:before="30" w:after="30"/>
              <w:rPr>
                <w:rFonts w:eastAsia="Calibri" w:cs="Times New Roman"/>
                <w:color w:val="404040"/>
                <w:lang w:eastAsia="en-GB"/>
              </w:rPr>
            </w:pPr>
            <w:r>
              <w:rPr>
                <w:rFonts w:eastAsia="Calibri" w:cs="Times New Roman"/>
                <w:color w:val="404040"/>
                <w:lang w:eastAsia="en-GB"/>
              </w:rPr>
              <w:t>SECAS</w:t>
            </w:r>
          </w:p>
        </w:tc>
      </w:tr>
      <w:tr w:rsidR="00397755" w:rsidRPr="00EA5CE8" w14:paraId="5A90C899"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5208555A" w14:textId="443268A0" w:rsidR="00397755" w:rsidRDefault="00397755" w:rsidP="00AB0CFD">
            <w:pPr>
              <w:spacing w:before="30" w:after="30"/>
              <w:rPr>
                <w:rFonts w:eastAsia="Calibri" w:cs="Arial"/>
                <w:color w:val="404040"/>
                <w:szCs w:val="20"/>
                <w:lang w:eastAsia="en-GB"/>
              </w:rPr>
            </w:pPr>
            <w:r>
              <w:rPr>
                <w:rFonts w:eastAsia="Calibri" w:cs="Arial"/>
                <w:color w:val="404040"/>
                <w:szCs w:val="20"/>
                <w:lang w:eastAsia="en-GB"/>
              </w:rPr>
              <w:t>Holly Burton</w:t>
            </w:r>
          </w:p>
        </w:tc>
        <w:tc>
          <w:tcPr>
            <w:tcW w:w="2133" w:type="pct"/>
            <w:tcBorders>
              <w:top w:val="single" w:sz="4" w:space="0" w:color="auto"/>
              <w:left w:val="single" w:sz="4" w:space="0" w:color="auto"/>
              <w:bottom w:val="single" w:sz="4" w:space="0" w:color="auto"/>
              <w:right w:val="single" w:sz="4" w:space="0" w:color="auto"/>
            </w:tcBorders>
          </w:tcPr>
          <w:p w14:paraId="24BF50F0" w14:textId="4441158A" w:rsidR="00397755" w:rsidRDefault="00397755" w:rsidP="00AB0CFD">
            <w:pPr>
              <w:spacing w:before="30" w:after="30"/>
              <w:rPr>
                <w:rFonts w:eastAsia="Calibri" w:cs="Times New Roman"/>
                <w:color w:val="404040"/>
                <w:lang w:eastAsia="en-GB"/>
              </w:rPr>
            </w:pPr>
            <w:r>
              <w:rPr>
                <w:rFonts w:eastAsia="Calibri" w:cs="Times New Roman"/>
                <w:color w:val="404040"/>
                <w:lang w:eastAsia="en-GB"/>
              </w:rPr>
              <w:t>SECAS</w:t>
            </w:r>
          </w:p>
        </w:tc>
      </w:tr>
      <w:tr w:rsidR="00E152A7" w:rsidRPr="00EA5CE8" w14:paraId="0684CF3B"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553999F9" w14:textId="1B0CEC20" w:rsidR="00E152A7" w:rsidRPr="00EA5CE8" w:rsidRDefault="00397755" w:rsidP="00AB0CFD">
            <w:pPr>
              <w:spacing w:before="30" w:after="30"/>
              <w:rPr>
                <w:rFonts w:cs="Arial"/>
                <w:color w:val="404040"/>
                <w:szCs w:val="20"/>
                <w:lang w:eastAsia="en-GB"/>
              </w:rPr>
            </w:pPr>
            <w:r>
              <w:rPr>
                <w:rFonts w:cs="Arial"/>
                <w:color w:val="404040"/>
                <w:szCs w:val="20"/>
                <w:lang w:eastAsia="en-GB"/>
              </w:rPr>
              <w:t>Huw Exley</w:t>
            </w:r>
          </w:p>
        </w:tc>
        <w:tc>
          <w:tcPr>
            <w:tcW w:w="2133" w:type="pct"/>
            <w:tcBorders>
              <w:top w:val="single" w:sz="4" w:space="0" w:color="auto"/>
              <w:left w:val="single" w:sz="4" w:space="0" w:color="auto"/>
              <w:bottom w:val="single" w:sz="4" w:space="0" w:color="auto"/>
              <w:right w:val="single" w:sz="4" w:space="0" w:color="auto"/>
            </w:tcBorders>
          </w:tcPr>
          <w:p w14:paraId="1DD4C48B"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SECAS</w:t>
            </w:r>
          </w:p>
        </w:tc>
      </w:tr>
      <w:tr w:rsidR="00E152A7" w:rsidRPr="00EA5CE8" w14:paraId="1376F394"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300ECFE5"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Brad Baker</w:t>
            </w:r>
          </w:p>
        </w:tc>
        <w:tc>
          <w:tcPr>
            <w:tcW w:w="2133" w:type="pct"/>
            <w:tcBorders>
              <w:top w:val="single" w:sz="4" w:space="0" w:color="auto"/>
              <w:left w:val="single" w:sz="4" w:space="0" w:color="auto"/>
              <w:bottom w:val="single" w:sz="4" w:space="0" w:color="auto"/>
              <w:right w:val="single" w:sz="4" w:space="0" w:color="auto"/>
            </w:tcBorders>
          </w:tcPr>
          <w:p w14:paraId="434A4647"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SECAS</w:t>
            </w:r>
          </w:p>
        </w:tc>
      </w:tr>
      <w:tr w:rsidR="00E152A7" w:rsidRPr="00EA5CE8" w14:paraId="4BB59B42"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556B29D0" w14:textId="77777777" w:rsidR="00E152A7" w:rsidRPr="00EA5CE8" w:rsidRDefault="00E152A7" w:rsidP="00AB0CFD">
            <w:pPr>
              <w:spacing w:before="30" w:after="30"/>
              <w:rPr>
                <w:rFonts w:cs="Arial"/>
                <w:color w:val="404040"/>
                <w:szCs w:val="20"/>
                <w:lang w:eastAsia="en-GB"/>
              </w:rPr>
            </w:pPr>
            <w:r w:rsidRPr="00EA5CE8">
              <w:rPr>
                <w:rFonts w:cs="Arial"/>
                <w:color w:val="404040"/>
                <w:szCs w:val="20"/>
                <w:lang w:eastAsia="en-GB"/>
              </w:rPr>
              <w:t>Joey Manners</w:t>
            </w:r>
          </w:p>
        </w:tc>
        <w:tc>
          <w:tcPr>
            <w:tcW w:w="2133" w:type="pct"/>
            <w:tcBorders>
              <w:top w:val="single" w:sz="4" w:space="0" w:color="auto"/>
              <w:left w:val="single" w:sz="4" w:space="0" w:color="auto"/>
              <w:bottom w:val="single" w:sz="4" w:space="0" w:color="auto"/>
              <w:right w:val="single" w:sz="4" w:space="0" w:color="auto"/>
            </w:tcBorders>
          </w:tcPr>
          <w:p w14:paraId="0B30017C" w14:textId="77777777" w:rsidR="00E152A7" w:rsidRPr="00EA5CE8" w:rsidRDefault="00E152A7" w:rsidP="00AB0CFD">
            <w:pPr>
              <w:spacing w:before="30" w:after="30"/>
              <w:rPr>
                <w:rFonts w:cs="Times New Roman"/>
                <w:color w:val="404040"/>
                <w:lang w:eastAsia="en-GB"/>
              </w:rPr>
            </w:pPr>
            <w:r w:rsidRPr="00EA5CE8">
              <w:rPr>
                <w:rFonts w:cs="Times New Roman"/>
                <w:color w:val="404040"/>
                <w:lang w:eastAsia="en-GB"/>
              </w:rPr>
              <w:t>SECAS</w:t>
            </w:r>
          </w:p>
        </w:tc>
      </w:tr>
      <w:tr w:rsidR="003B12CA" w:rsidRPr="00EA5CE8" w14:paraId="2DEEA0D3"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38023683" w14:textId="75E992B4" w:rsidR="003B12CA" w:rsidRPr="00EA5CE8" w:rsidRDefault="00397755" w:rsidP="00AB0CFD">
            <w:pPr>
              <w:spacing w:before="30" w:after="30"/>
              <w:rPr>
                <w:rFonts w:cs="Arial"/>
                <w:color w:val="404040"/>
                <w:szCs w:val="20"/>
                <w:lang w:eastAsia="en-GB"/>
              </w:rPr>
            </w:pPr>
            <w:r>
              <w:rPr>
                <w:rFonts w:cs="Arial"/>
                <w:color w:val="404040"/>
                <w:szCs w:val="20"/>
                <w:lang w:eastAsia="en-GB"/>
              </w:rPr>
              <w:t>Anik Abdullah</w:t>
            </w:r>
          </w:p>
        </w:tc>
        <w:tc>
          <w:tcPr>
            <w:tcW w:w="2133" w:type="pct"/>
            <w:tcBorders>
              <w:top w:val="single" w:sz="4" w:space="0" w:color="auto"/>
              <w:left w:val="single" w:sz="4" w:space="0" w:color="auto"/>
              <w:bottom w:val="single" w:sz="4" w:space="0" w:color="auto"/>
              <w:right w:val="single" w:sz="4" w:space="0" w:color="auto"/>
            </w:tcBorders>
          </w:tcPr>
          <w:p w14:paraId="47F21A7A" w14:textId="5905BE98" w:rsidR="00397755" w:rsidRPr="00EA5CE8" w:rsidRDefault="00397755" w:rsidP="00AB0CFD">
            <w:pPr>
              <w:spacing w:before="30" w:after="30"/>
              <w:rPr>
                <w:rFonts w:cs="Times New Roman"/>
                <w:color w:val="404040"/>
                <w:lang w:eastAsia="en-GB"/>
              </w:rPr>
            </w:pPr>
            <w:r>
              <w:rPr>
                <w:rFonts w:cs="Times New Roman"/>
                <w:color w:val="404040"/>
                <w:lang w:eastAsia="en-GB"/>
              </w:rPr>
              <w:t>SECAS</w:t>
            </w:r>
          </w:p>
        </w:tc>
      </w:tr>
      <w:tr w:rsidR="003B12CA" w:rsidRPr="00EA5CE8" w14:paraId="47181907"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795066FE" w14:textId="5A8D6D86" w:rsidR="003B12CA" w:rsidRPr="00EA5CE8" w:rsidRDefault="00397755" w:rsidP="00AB0CFD">
            <w:pPr>
              <w:spacing w:before="30" w:after="30"/>
              <w:rPr>
                <w:rFonts w:cs="Arial"/>
                <w:color w:val="404040"/>
                <w:szCs w:val="20"/>
                <w:lang w:eastAsia="en-GB"/>
              </w:rPr>
            </w:pPr>
            <w:r>
              <w:rPr>
                <w:rFonts w:cs="Arial"/>
                <w:color w:val="404040"/>
                <w:szCs w:val="20"/>
                <w:lang w:eastAsia="en-GB"/>
              </w:rPr>
              <w:t>David Walsh</w:t>
            </w:r>
          </w:p>
        </w:tc>
        <w:tc>
          <w:tcPr>
            <w:tcW w:w="2133" w:type="pct"/>
            <w:tcBorders>
              <w:top w:val="single" w:sz="4" w:space="0" w:color="auto"/>
              <w:left w:val="single" w:sz="4" w:space="0" w:color="auto"/>
              <w:bottom w:val="single" w:sz="4" w:space="0" w:color="auto"/>
              <w:right w:val="single" w:sz="4" w:space="0" w:color="auto"/>
            </w:tcBorders>
          </w:tcPr>
          <w:p w14:paraId="1C8C2299" w14:textId="12FFFD1F" w:rsidR="003B12CA" w:rsidRPr="00EA5CE8" w:rsidRDefault="00397755" w:rsidP="00AB0CFD">
            <w:pPr>
              <w:spacing w:before="30" w:after="30"/>
              <w:rPr>
                <w:rFonts w:cs="Times New Roman"/>
                <w:color w:val="404040"/>
                <w:lang w:eastAsia="en-GB"/>
              </w:rPr>
            </w:pPr>
            <w:r>
              <w:rPr>
                <w:rFonts w:cs="Times New Roman"/>
                <w:color w:val="404040"/>
                <w:lang w:eastAsia="en-GB"/>
              </w:rPr>
              <w:t>DCC</w:t>
            </w:r>
          </w:p>
        </w:tc>
      </w:tr>
      <w:tr w:rsidR="003B12CA" w:rsidRPr="00EA5CE8" w14:paraId="1FE6D37F"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5764175E" w14:textId="62A312DB" w:rsidR="003B12CA" w:rsidRPr="00EA5CE8" w:rsidRDefault="00397755" w:rsidP="00AB0CFD">
            <w:pPr>
              <w:spacing w:before="30" w:after="30"/>
              <w:rPr>
                <w:rFonts w:cs="Arial"/>
                <w:color w:val="404040"/>
                <w:szCs w:val="20"/>
                <w:lang w:eastAsia="en-GB"/>
              </w:rPr>
            </w:pPr>
            <w:r>
              <w:rPr>
                <w:rFonts w:cs="Arial"/>
                <w:color w:val="404040"/>
                <w:szCs w:val="20"/>
                <w:lang w:eastAsia="en-GB"/>
              </w:rPr>
              <w:t>Remi Oluwabamise</w:t>
            </w:r>
          </w:p>
        </w:tc>
        <w:tc>
          <w:tcPr>
            <w:tcW w:w="2133" w:type="pct"/>
            <w:tcBorders>
              <w:top w:val="single" w:sz="4" w:space="0" w:color="auto"/>
              <w:left w:val="single" w:sz="4" w:space="0" w:color="auto"/>
              <w:bottom w:val="single" w:sz="4" w:space="0" w:color="auto"/>
              <w:right w:val="single" w:sz="4" w:space="0" w:color="auto"/>
            </w:tcBorders>
          </w:tcPr>
          <w:p w14:paraId="35E150D5" w14:textId="5C1924A5" w:rsidR="003B12CA" w:rsidRPr="00EA5CE8" w:rsidRDefault="00397755" w:rsidP="00AB0CFD">
            <w:pPr>
              <w:spacing w:before="30" w:after="30"/>
              <w:rPr>
                <w:rFonts w:cs="Times New Roman"/>
                <w:color w:val="404040"/>
                <w:lang w:eastAsia="en-GB"/>
              </w:rPr>
            </w:pPr>
            <w:r>
              <w:rPr>
                <w:rFonts w:cs="Times New Roman"/>
                <w:color w:val="404040"/>
                <w:lang w:eastAsia="en-GB"/>
              </w:rPr>
              <w:t>DCC</w:t>
            </w:r>
          </w:p>
        </w:tc>
      </w:tr>
      <w:tr w:rsidR="009B4841" w:rsidRPr="00EA5CE8" w14:paraId="0F623733"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4D85152A" w14:textId="7FBB3110" w:rsidR="009B4841" w:rsidRPr="00EA5CE8" w:rsidRDefault="009B4841" w:rsidP="009B4841">
            <w:pPr>
              <w:spacing w:before="30" w:after="30"/>
              <w:rPr>
                <w:rFonts w:cs="Arial"/>
                <w:color w:val="404040"/>
                <w:szCs w:val="20"/>
                <w:lang w:eastAsia="en-GB"/>
              </w:rPr>
            </w:pPr>
            <w:r>
              <w:rPr>
                <w:rFonts w:cs="Arial"/>
                <w:color w:val="404040"/>
                <w:szCs w:val="20"/>
                <w:lang w:eastAsia="en-GB"/>
              </w:rPr>
              <w:t>Julie Geary</w:t>
            </w:r>
          </w:p>
        </w:tc>
        <w:tc>
          <w:tcPr>
            <w:tcW w:w="2133" w:type="pct"/>
            <w:tcBorders>
              <w:top w:val="single" w:sz="4" w:space="0" w:color="auto"/>
              <w:left w:val="single" w:sz="4" w:space="0" w:color="auto"/>
              <w:bottom w:val="single" w:sz="4" w:space="0" w:color="auto"/>
              <w:right w:val="single" w:sz="4" w:space="0" w:color="auto"/>
            </w:tcBorders>
          </w:tcPr>
          <w:p w14:paraId="0589B7F0" w14:textId="4B563FD4" w:rsidR="009B4841" w:rsidRPr="00EA5CE8" w:rsidRDefault="009B4841" w:rsidP="009B4841">
            <w:pPr>
              <w:spacing w:before="30" w:after="30"/>
              <w:rPr>
                <w:rFonts w:cs="Times New Roman"/>
                <w:color w:val="404040"/>
                <w:lang w:eastAsia="en-GB"/>
              </w:rPr>
            </w:pPr>
            <w:r>
              <w:rPr>
                <w:rFonts w:cs="Times New Roman"/>
                <w:color w:val="404040"/>
                <w:lang w:eastAsia="en-GB"/>
              </w:rPr>
              <w:t>E.ON</w:t>
            </w:r>
          </w:p>
        </w:tc>
      </w:tr>
      <w:tr w:rsidR="009B4841" w:rsidRPr="00EA5CE8" w14:paraId="03EB5F66"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7389C121" w14:textId="5D8D8198" w:rsidR="009B4841" w:rsidRDefault="009B4841" w:rsidP="009B4841">
            <w:pPr>
              <w:spacing w:before="30" w:after="30"/>
              <w:rPr>
                <w:rFonts w:cs="Arial"/>
                <w:color w:val="404040"/>
                <w:szCs w:val="20"/>
                <w:lang w:eastAsia="en-GB"/>
              </w:rPr>
            </w:pPr>
            <w:r>
              <w:rPr>
                <w:rFonts w:cs="Arial"/>
                <w:color w:val="404040"/>
                <w:szCs w:val="20"/>
                <w:lang w:eastAsia="en-GB"/>
              </w:rPr>
              <w:t>Alex Hurcombe</w:t>
            </w:r>
          </w:p>
        </w:tc>
        <w:tc>
          <w:tcPr>
            <w:tcW w:w="2133" w:type="pct"/>
            <w:tcBorders>
              <w:top w:val="single" w:sz="4" w:space="0" w:color="auto"/>
              <w:left w:val="single" w:sz="4" w:space="0" w:color="auto"/>
              <w:bottom w:val="single" w:sz="4" w:space="0" w:color="auto"/>
              <w:right w:val="single" w:sz="4" w:space="0" w:color="auto"/>
            </w:tcBorders>
          </w:tcPr>
          <w:p w14:paraId="06C30D8C" w14:textId="18B18F98" w:rsidR="009B4841" w:rsidRDefault="009B4841" w:rsidP="009B4841">
            <w:pPr>
              <w:spacing w:before="30" w:after="30"/>
              <w:rPr>
                <w:rFonts w:cs="Times New Roman"/>
                <w:color w:val="404040"/>
                <w:lang w:eastAsia="en-GB"/>
              </w:rPr>
            </w:pPr>
            <w:r>
              <w:rPr>
                <w:rFonts w:cs="Times New Roman"/>
                <w:color w:val="404040"/>
                <w:lang w:eastAsia="en-GB"/>
              </w:rPr>
              <w:t>EDF</w:t>
            </w:r>
          </w:p>
        </w:tc>
      </w:tr>
      <w:tr w:rsidR="009B4841" w:rsidRPr="00EA5CE8" w14:paraId="2B323EE4"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1A3EB96B" w14:textId="79E4FA13" w:rsidR="009B4841" w:rsidRDefault="009B4841" w:rsidP="009B4841">
            <w:pPr>
              <w:spacing w:before="30" w:after="30"/>
              <w:rPr>
                <w:rFonts w:cs="Arial"/>
                <w:color w:val="404040"/>
                <w:szCs w:val="20"/>
                <w:lang w:eastAsia="en-GB"/>
              </w:rPr>
            </w:pPr>
            <w:r>
              <w:rPr>
                <w:rFonts w:cs="Arial"/>
                <w:color w:val="404040"/>
                <w:szCs w:val="20"/>
                <w:lang w:eastAsia="en-GB"/>
              </w:rPr>
              <w:t>Terry Jefferson</w:t>
            </w:r>
          </w:p>
        </w:tc>
        <w:tc>
          <w:tcPr>
            <w:tcW w:w="2133" w:type="pct"/>
            <w:tcBorders>
              <w:top w:val="single" w:sz="4" w:space="0" w:color="auto"/>
              <w:left w:val="single" w:sz="4" w:space="0" w:color="auto"/>
              <w:bottom w:val="single" w:sz="4" w:space="0" w:color="auto"/>
              <w:right w:val="single" w:sz="4" w:space="0" w:color="auto"/>
            </w:tcBorders>
          </w:tcPr>
          <w:p w14:paraId="735BFE28" w14:textId="0E386107" w:rsidR="009B4841" w:rsidRDefault="009B4841" w:rsidP="009B4841">
            <w:pPr>
              <w:spacing w:before="30" w:after="30"/>
              <w:rPr>
                <w:rFonts w:cs="Times New Roman"/>
                <w:color w:val="404040"/>
                <w:lang w:eastAsia="en-GB"/>
              </w:rPr>
            </w:pPr>
            <w:r>
              <w:rPr>
                <w:rFonts w:cs="Times New Roman"/>
                <w:color w:val="404040"/>
                <w:lang w:eastAsia="en-GB"/>
              </w:rPr>
              <w:t>EUA</w:t>
            </w:r>
          </w:p>
        </w:tc>
      </w:tr>
      <w:tr w:rsidR="009B4841" w:rsidRPr="00EA5CE8" w14:paraId="6880AF54"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144954C2" w14:textId="03FE7A34" w:rsidR="009B4841" w:rsidRDefault="009B4841" w:rsidP="009B4841">
            <w:pPr>
              <w:spacing w:before="30" w:after="30"/>
              <w:rPr>
                <w:rFonts w:cs="Arial"/>
                <w:color w:val="404040"/>
                <w:szCs w:val="20"/>
                <w:lang w:eastAsia="en-GB"/>
              </w:rPr>
            </w:pPr>
            <w:r>
              <w:rPr>
                <w:rFonts w:cs="Arial"/>
                <w:color w:val="404040"/>
                <w:szCs w:val="20"/>
                <w:lang w:eastAsia="en-GB"/>
              </w:rPr>
              <w:t>Laurie Walker</w:t>
            </w:r>
          </w:p>
        </w:tc>
        <w:tc>
          <w:tcPr>
            <w:tcW w:w="2133" w:type="pct"/>
            <w:tcBorders>
              <w:top w:val="single" w:sz="4" w:space="0" w:color="auto"/>
              <w:left w:val="single" w:sz="4" w:space="0" w:color="auto"/>
              <w:bottom w:val="single" w:sz="4" w:space="0" w:color="auto"/>
              <w:right w:val="single" w:sz="4" w:space="0" w:color="auto"/>
            </w:tcBorders>
          </w:tcPr>
          <w:p w14:paraId="5C45454E" w14:textId="54A2D5D6" w:rsidR="009B4841" w:rsidRDefault="009B4841" w:rsidP="009B4841">
            <w:pPr>
              <w:spacing w:before="30" w:after="30"/>
              <w:rPr>
                <w:rFonts w:cs="Times New Roman"/>
                <w:color w:val="404040"/>
                <w:lang w:eastAsia="en-GB"/>
              </w:rPr>
            </w:pPr>
            <w:r>
              <w:rPr>
                <w:rFonts w:cs="Times New Roman"/>
                <w:color w:val="404040"/>
                <w:lang w:eastAsia="en-GB"/>
              </w:rPr>
              <w:t>Gilmond Consulting</w:t>
            </w:r>
          </w:p>
        </w:tc>
      </w:tr>
      <w:tr w:rsidR="009B4841" w:rsidRPr="00EA5CE8" w14:paraId="5B54C1A8"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67FDF00E" w14:textId="3A94A9FF" w:rsidR="009B4841" w:rsidRDefault="009B4841" w:rsidP="009B4841">
            <w:pPr>
              <w:spacing w:before="30" w:after="30"/>
              <w:rPr>
                <w:rFonts w:cs="Arial"/>
                <w:color w:val="404040"/>
                <w:szCs w:val="20"/>
                <w:lang w:eastAsia="en-GB"/>
              </w:rPr>
            </w:pPr>
            <w:r>
              <w:rPr>
                <w:rFonts w:cs="Arial"/>
                <w:color w:val="404040"/>
                <w:szCs w:val="20"/>
                <w:lang w:eastAsia="en-GB"/>
              </w:rPr>
              <w:t>Ralph Baxter</w:t>
            </w:r>
          </w:p>
        </w:tc>
        <w:tc>
          <w:tcPr>
            <w:tcW w:w="2133" w:type="pct"/>
            <w:tcBorders>
              <w:top w:val="single" w:sz="4" w:space="0" w:color="auto"/>
              <w:left w:val="single" w:sz="4" w:space="0" w:color="auto"/>
              <w:bottom w:val="single" w:sz="4" w:space="0" w:color="auto"/>
              <w:right w:val="single" w:sz="4" w:space="0" w:color="auto"/>
            </w:tcBorders>
          </w:tcPr>
          <w:p w14:paraId="13EF386F" w14:textId="744A7A45" w:rsidR="009B4841" w:rsidRDefault="009B4841" w:rsidP="009B4841">
            <w:pPr>
              <w:spacing w:before="30" w:after="30"/>
              <w:rPr>
                <w:rFonts w:cs="Times New Roman"/>
                <w:color w:val="404040"/>
                <w:lang w:eastAsia="en-GB"/>
              </w:rPr>
            </w:pPr>
            <w:r>
              <w:rPr>
                <w:rFonts w:cs="Times New Roman"/>
                <w:color w:val="404040"/>
                <w:lang w:eastAsia="en-GB"/>
              </w:rPr>
              <w:t>Octopus Energy</w:t>
            </w:r>
          </w:p>
        </w:tc>
      </w:tr>
      <w:tr w:rsidR="009B4841" w:rsidRPr="00EA5CE8" w14:paraId="6C28F832"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46619C3D" w14:textId="1A3D1942" w:rsidR="009B4841" w:rsidRDefault="009B4841" w:rsidP="009B4841">
            <w:pPr>
              <w:spacing w:before="30" w:after="30"/>
              <w:rPr>
                <w:rFonts w:cs="Arial"/>
                <w:color w:val="404040"/>
                <w:szCs w:val="20"/>
                <w:lang w:eastAsia="en-GB"/>
              </w:rPr>
            </w:pPr>
            <w:r>
              <w:rPr>
                <w:rFonts w:cs="Arial"/>
                <w:color w:val="404040"/>
                <w:szCs w:val="20"/>
                <w:lang w:eastAsia="en-GB"/>
              </w:rPr>
              <w:t>Emslie Law</w:t>
            </w:r>
          </w:p>
        </w:tc>
        <w:tc>
          <w:tcPr>
            <w:tcW w:w="2133" w:type="pct"/>
            <w:tcBorders>
              <w:top w:val="single" w:sz="4" w:space="0" w:color="auto"/>
              <w:left w:val="single" w:sz="4" w:space="0" w:color="auto"/>
              <w:bottom w:val="single" w:sz="4" w:space="0" w:color="auto"/>
              <w:right w:val="single" w:sz="4" w:space="0" w:color="auto"/>
            </w:tcBorders>
          </w:tcPr>
          <w:p w14:paraId="29B3A761" w14:textId="34FEADA7" w:rsidR="009B4841" w:rsidRDefault="009B4841" w:rsidP="009B4841">
            <w:pPr>
              <w:spacing w:before="30" w:after="30"/>
              <w:rPr>
                <w:rFonts w:cs="Times New Roman"/>
                <w:color w:val="404040"/>
                <w:lang w:eastAsia="en-GB"/>
              </w:rPr>
            </w:pPr>
            <w:r>
              <w:rPr>
                <w:rFonts w:cs="Times New Roman"/>
                <w:color w:val="404040"/>
                <w:lang w:eastAsia="en-GB"/>
              </w:rPr>
              <w:t>OVO-SSE</w:t>
            </w:r>
          </w:p>
        </w:tc>
      </w:tr>
      <w:tr w:rsidR="003B12CA" w:rsidRPr="00EA5CE8" w14:paraId="65B46816"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4F7BF53C" w14:textId="321AC933" w:rsidR="003B12CA" w:rsidRPr="00EA5CE8" w:rsidRDefault="00397755" w:rsidP="00AB0CFD">
            <w:pPr>
              <w:spacing w:before="30" w:after="30"/>
              <w:rPr>
                <w:rFonts w:cs="Arial"/>
                <w:color w:val="404040"/>
                <w:szCs w:val="20"/>
                <w:lang w:eastAsia="en-GB"/>
              </w:rPr>
            </w:pPr>
            <w:r>
              <w:rPr>
                <w:rFonts w:cs="Arial"/>
                <w:color w:val="404040"/>
                <w:szCs w:val="20"/>
                <w:lang w:eastAsia="en-GB"/>
              </w:rPr>
              <w:t>Elias Hanna</w:t>
            </w:r>
          </w:p>
        </w:tc>
        <w:tc>
          <w:tcPr>
            <w:tcW w:w="2133" w:type="pct"/>
            <w:tcBorders>
              <w:top w:val="single" w:sz="4" w:space="0" w:color="auto"/>
              <w:left w:val="single" w:sz="4" w:space="0" w:color="auto"/>
              <w:bottom w:val="single" w:sz="4" w:space="0" w:color="auto"/>
              <w:right w:val="single" w:sz="4" w:space="0" w:color="auto"/>
            </w:tcBorders>
          </w:tcPr>
          <w:p w14:paraId="617BCEAB" w14:textId="2255A800" w:rsidR="003B12CA" w:rsidRPr="00EA5CE8" w:rsidRDefault="00D506A9" w:rsidP="00AB0CFD">
            <w:pPr>
              <w:spacing w:before="30" w:after="30"/>
              <w:rPr>
                <w:rFonts w:cs="Times New Roman"/>
                <w:color w:val="404040"/>
                <w:lang w:eastAsia="en-GB"/>
              </w:rPr>
            </w:pPr>
            <w:r>
              <w:rPr>
                <w:rFonts w:cs="Times New Roman"/>
                <w:color w:val="404040"/>
                <w:lang w:eastAsia="en-GB"/>
              </w:rPr>
              <w:t>Smart ADSL</w:t>
            </w:r>
          </w:p>
        </w:tc>
      </w:tr>
      <w:tr w:rsidR="003B12CA" w:rsidRPr="00EA5CE8" w14:paraId="5275BF5E"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03B384E2" w14:textId="3B82343B" w:rsidR="003B12CA" w:rsidRPr="00EA5CE8" w:rsidRDefault="00397755" w:rsidP="00AB0CFD">
            <w:pPr>
              <w:spacing w:before="30" w:after="30"/>
              <w:rPr>
                <w:rFonts w:cs="Arial"/>
                <w:color w:val="404040"/>
                <w:szCs w:val="20"/>
                <w:lang w:eastAsia="en-GB"/>
              </w:rPr>
            </w:pPr>
            <w:r>
              <w:rPr>
                <w:rFonts w:cs="Arial"/>
                <w:color w:val="404040"/>
                <w:szCs w:val="20"/>
                <w:lang w:eastAsia="en-GB"/>
              </w:rPr>
              <w:t>Matthew Alexander</w:t>
            </w:r>
          </w:p>
        </w:tc>
        <w:tc>
          <w:tcPr>
            <w:tcW w:w="2133" w:type="pct"/>
            <w:tcBorders>
              <w:top w:val="single" w:sz="4" w:space="0" w:color="auto"/>
              <w:left w:val="single" w:sz="4" w:space="0" w:color="auto"/>
              <w:bottom w:val="single" w:sz="4" w:space="0" w:color="auto"/>
              <w:right w:val="single" w:sz="4" w:space="0" w:color="auto"/>
            </w:tcBorders>
          </w:tcPr>
          <w:p w14:paraId="18FD8F78" w14:textId="338A7BE8" w:rsidR="003B12CA" w:rsidRPr="00EA5CE8" w:rsidRDefault="00397755" w:rsidP="00AB0CFD">
            <w:pPr>
              <w:spacing w:before="30" w:after="30"/>
              <w:rPr>
                <w:rFonts w:cs="Times New Roman"/>
                <w:color w:val="404040"/>
                <w:lang w:eastAsia="en-GB"/>
              </w:rPr>
            </w:pPr>
            <w:r>
              <w:rPr>
                <w:rFonts w:cs="Times New Roman"/>
                <w:color w:val="404040"/>
                <w:lang w:eastAsia="en-GB"/>
              </w:rPr>
              <w:t>SSEN</w:t>
            </w:r>
          </w:p>
        </w:tc>
      </w:tr>
      <w:tr w:rsidR="009B4841" w:rsidRPr="00EA5CE8" w14:paraId="2AA1F1EA"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4D2F864A" w14:textId="65D49321" w:rsidR="009B4841" w:rsidRPr="00EA5CE8" w:rsidRDefault="009B4841" w:rsidP="009B4841">
            <w:pPr>
              <w:spacing w:before="30" w:after="30"/>
              <w:rPr>
                <w:rFonts w:cs="Arial"/>
                <w:color w:val="404040"/>
                <w:szCs w:val="20"/>
                <w:lang w:eastAsia="en-GB"/>
              </w:rPr>
            </w:pPr>
            <w:r>
              <w:rPr>
                <w:rFonts w:cs="Arial"/>
                <w:color w:val="404040"/>
                <w:szCs w:val="20"/>
                <w:lang w:eastAsia="en-GB"/>
              </w:rPr>
              <w:t>Daniel Davies</w:t>
            </w:r>
          </w:p>
        </w:tc>
        <w:tc>
          <w:tcPr>
            <w:tcW w:w="2133" w:type="pct"/>
            <w:tcBorders>
              <w:top w:val="single" w:sz="4" w:space="0" w:color="auto"/>
              <w:left w:val="single" w:sz="4" w:space="0" w:color="auto"/>
              <w:bottom w:val="single" w:sz="4" w:space="0" w:color="auto"/>
              <w:right w:val="single" w:sz="4" w:space="0" w:color="auto"/>
            </w:tcBorders>
          </w:tcPr>
          <w:p w14:paraId="333F9E20" w14:textId="271D3F0B" w:rsidR="009B4841" w:rsidRPr="00EA5CE8" w:rsidRDefault="009B4841" w:rsidP="009B4841">
            <w:pPr>
              <w:spacing w:before="30" w:after="30"/>
              <w:rPr>
                <w:rFonts w:cs="Times New Roman"/>
                <w:color w:val="404040"/>
                <w:lang w:eastAsia="en-GB"/>
              </w:rPr>
            </w:pPr>
            <w:r>
              <w:rPr>
                <w:rFonts w:cs="Times New Roman"/>
                <w:color w:val="404040"/>
                <w:lang w:eastAsia="en-GB"/>
              </w:rPr>
              <w:t>Utiligroup</w:t>
            </w:r>
          </w:p>
        </w:tc>
      </w:tr>
      <w:tr w:rsidR="003B12CA" w:rsidRPr="00EA5CE8" w14:paraId="5023AE20"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3271071F" w14:textId="74672989" w:rsidR="003B12CA" w:rsidRPr="00EA5CE8" w:rsidRDefault="00397755" w:rsidP="00AB0CFD">
            <w:pPr>
              <w:spacing w:before="30" w:after="30"/>
              <w:rPr>
                <w:rFonts w:cs="Arial"/>
                <w:color w:val="404040"/>
                <w:szCs w:val="20"/>
                <w:lang w:eastAsia="en-GB"/>
              </w:rPr>
            </w:pPr>
            <w:r>
              <w:rPr>
                <w:rFonts w:cs="Arial"/>
                <w:color w:val="404040"/>
                <w:szCs w:val="20"/>
                <w:lang w:eastAsia="en-GB"/>
              </w:rPr>
              <w:t>Rachel Norberg</w:t>
            </w:r>
          </w:p>
        </w:tc>
        <w:tc>
          <w:tcPr>
            <w:tcW w:w="2133" w:type="pct"/>
            <w:tcBorders>
              <w:top w:val="single" w:sz="4" w:space="0" w:color="auto"/>
              <w:left w:val="single" w:sz="4" w:space="0" w:color="auto"/>
              <w:bottom w:val="single" w:sz="4" w:space="0" w:color="auto"/>
              <w:right w:val="single" w:sz="4" w:space="0" w:color="auto"/>
            </w:tcBorders>
          </w:tcPr>
          <w:p w14:paraId="352B1078" w14:textId="6CBE8BCA" w:rsidR="003B12CA" w:rsidRPr="00EA5CE8" w:rsidRDefault="00397755" w:rsidP="00AB0CFD">
            <w:pPr>
              <w:spacing w:before="30" w:after="30"/>
              <w:rPr>
                <w:rFonts w:cs="Times New Roman"/>
                <w:color w:val="404040"/>
                <w:lang w:eastAsia="en-GB"/>
              </w:rPr>
            </w:pPr>
            <w:r>
              <w:rPr>
                <w:rFonts w:cs="Times New Roman"/>
                <w:color w:val="404040"/>
                <w:lang w:eastAsia="en-GB"/>
              </w:rPr>
              <w:t>Utilita</w:t>
            </w:r>
          </w:p>
        </w:tc>
      </w:tr>
      <w:tr w:rsidR="009B4841" w:rsidRPr="00EA5CE8" w14:paraId="00696628" w14:textId="77777777" w:rsidTr="00AB0CFD">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56C21AAB" w14:textId="7FD6627C" w:rsidR="009B4841" w:rsidRPr="00EA5CE8" w:rsidRDefault="009B4841" w:rsidP="009B4841">
            <w:pPr>
              <w:spacing w:before="30" w:after="30"/>
              <w:rPr>
                <w:rFonts w:cs="Arial"/>
                <w:color w:val="404040"/>
                <w:szCs w:val="20"/>
                <w:lang w:eastAsia="en-GB"/>
              </w:rPr>
            </w:pPr>
            <w:r>
              <w:rPr>
                <w:rFonts w:cs="Arial"/>
                <w:color w:val="404040"/>
                <w:szCs w:val="20"/>
                <w:lang w:eastAsia="en-GB"/>
              </w:rPr>
              <w:t>Gemma Slaney</w:t>
            </w:r>
          </w:p>
        </w:tc>
        <w:tc>
          <w:tcPr>
            <w:tcW w:w="2133" w:type="pct"/>
            <w:tcBorders>
              <w:top w:val="single" w:sz="4" w:space="0" w:color="auto"/>
              <w:left w:val="single" w:sz="4" w:space="0" w:color="auto"/>
              <w:bottom w:val="single" w:sz="4" w:space="0" w:color="auto"/>
              <w:right w:val="single" w:sz="4" w:space="0" w:color="auto"/>
            </w:tcBorders>
          </w:tcPr>
          <w:p w14:paraId="6F85F087" w14:textId="5E8D273B" w:rsidR="009B4841" w:rsidRPr="00EA5CE8" w:rsidRDefault="009B4841" w:rsidP="009B4841">
            <w:pPr>
              <w:spacing w:before="30" w:after="30"/>
              <w:rPr>
                <w:rFonts w:cs="Times New Roman"/>
                <w:color w:val="404040"/>
                <w:lang w:eastAsia="en-GB"/>
              </w:rPr>
            </w:pPr>
            <w:r>
              <w:rPr>
                <w:rFonts w:cs="Times New Roman"/>
                <w:color w:val="404040"/>
                <w:lang w:eastAsia="en-GB"/>
              </w:rPr>
              <w:t>WPD</w:t>
            </w:r>
          </w:p>
        </w:tc>
      </w:tr>
    </w:tbl>
    <w:p w14:paraId="5CF0E901" w14:textId="3785E331" w:rsidR="00E42FFB" w:rsidRDefault="000055AC" w:rsidP="00387635">
      <w:pPr>
        <w:pStyle w:val="Subtitle"/>
      </w:pPr>
      <w:r>
        <w:t>Overview</w:t>
      </w:r>
    </w:p>
    <w:p w14:paraId="3CF41113" w14:textId="43CFF0B9" w:rsidR="00E91C2A" w:rsidRDefault="00AD70B0" w:rsidP="000055AC">
      <w:r>
        <w:t xml:space="preserve">The Smart </w:t>
      </w:r>
      <w:r w:rsidR="00A001CC">
        <w:t>E</w:t>
      </w:r>
      <w:r>
        <w:t>nergy Code Administrator and Secretariat (</w:t>
      </w:r>
      <w:r w:rsidR="000055AC">
        <w:t>SECAS</w:t>
      </w:r>
      <w:r>
        <w:t>)</w:t>
      </w:r>
      <w:r w:rsidR="000055AC">
        <w:t xml:space="preserve"> provided an overview of the issue identified by </w:t>
      </w:r>
      <w:hyperlink r:id="rId8" w:history="1">
        <w:r w:rsidR="000055AC" w:rsidRPr="00583EC5">
          <w:rPr>
            <w:rStyle w:val="Hyperlink"/>
          </w:rPr>
          <w:t>MP</w:t>
        </w:r>
        <w:r w:rsidR="00E62969" w:rsidRPr="00583EC5">
          <w:rPr>
            <w:rStyle w:val="Hyperlink"/>
          </w:rPr>
          <w:t>1</w:t>
        </w:r>
        <w:r w:rsidR="00E6727F">
          <w:rPr>
            <w:rStyle w:val="Hyperlink"/>
          </w:rPr>
          <w:t>16</w:t>
        </w:r>
        <w:r w:rsidR="000D7BCC" w:rsidRPr="00583EC5">
          <w:rPr>
            <w:rStyle w:val="Hyperlink"/>
          </w:rPr>
          <w:t xml:space="preserve"> </w:t>
        </w:r>
        <w:r w:rsidR="00583EC5" w:rsidRPr="00583EC5">
          <w:rPr>
            <w:rStyle w:val="Hyperlink"/>
          </w:rPr>
          <w:t>‘</w:t>
        </w:r>
        <w:r w:rsidR="00E6727F">
          <w:rPr>
            <w:rStyle w:val="Hyperlink"/>
          </w:rPr>
          <w:t>Service Request Forecasting</w:t>
        </w:r>
        <w:r w:rsidR="00583EC5" w:rsidRPr="00583EC5">
          <w:rPr>
            <w:rStyle w:val="Hyperlink"/>
          </w:rPr>
          <w:t>’</w:t>
        </w:r>
      </w:hyperlink>
      <w:r w:rsidR="003B12CA">
        <w:t>,</w:t>
      </w:r>
      <w:r w:rsidR="000D7BCC">
        <w:t xml:space="preserve"> the Proposed Solution put forward by the </w:t>
      </w:r>
      <w:r w:rsidR="00583EC5">
        <w:t>Data Communications Company (</w:t>
      </w:r>
      <w:r w:rsidR="000D7BCC">
        <w:t>DCC</w:t>
      </w:r>
      <w:r w:rsidR="00583EC5">
        <w:t>)</w:t>
      </w:r>
      <w:r w:rsidR="003B12CA">
        <w:t xml:space="preserve"> and also a summary of the updated draft legal text</w:t>
      </w:r>
      <w:r w:rsidR="000D7BCC">
        <w:t>.</w:t>
      </w:r>
      <w:r w:rsidR="00EB17D8">
        <w:t xml:space="preserve"> </w:t>
      </w:r>
      <w:r w:rsidR="00DF7D1A">
        <w:t>The DCC also provided an update on their forecast modelling project.</w:t>
      </w:r>
    </w:p>
    <w:p w14:paraId="5471BFC2" w14:textId="77777777" w:rsidR="009949FA" w:rsidRDefault="009949FA" w:rsidP="000055AC"/>
    <w:p w14:paraId="4C3492B5" w14:textId="77777777" w:rsidR="000055AC" w:rsidRDefault="000055AC" w:rsidP="009153F2">
      <w:pPr>
        <w:pStyle w:val="Subheading"/>
      </w:pPr>
      <w:r w:rsidRPr="009949FA">
        <w:t>Issue</w:t>
      </w:r>
      <w:r>
        <w:t>:</w:t>
      </w:r>
    </w:p>
    <w:p w14:paraId="7FAA8C94" w14:textId="293FA548" w:rsidR="009949FA" w:rsidRDefault="00E6727F" w:rsidP="000D7BCC">
      <w:pPr>
        <w:pStyle w:val="ListParagraph"/>
      </w:pPr>
      <w:r>
        <w:t xml:space="preserve">Each quarter a DCC User must submit an </w:t>
      </w:r>
      <w:r w:rsidR="005C5499">
        <w:t>eight</w:t>
      </w:r>
      <w:r>
        <w:t>-month Service Request forecast</w:t>
      </w:r>
    </w:p>
    <w:p w14:paraId="60A5FC45" w14:textId="7AE0A72B" w:rsidR="00507273" w:rsidRDefault="00E6727F" w:rsidP="000D7BCC">
      <w:pPr>
        <w:pStyle w:val="ListParagraph"/>
      </w:pPr>
      <w:r>
        <w:t>Each forecast takes approximately two days to complete per DCC User</w:t>
      </w:r>
    </w:p>
    <w:p w14:paraId="177A1A6E" w14:textId="09B4771A" w:rsidR="00E6727F" w:rsidRDefault="00E6727F" w:rsidP="000D7BCC">
      <w:pPr>
        <w:pStyle w:val="ListParagraph"/>
      </w:pPr>
      <w:r>
        <w:lastRenderedPageBreak/>
        <w:t xml:space="preserve">Experience has shown that the forecasts submitted are </w:t>
      </w:r>
      <w:r w:rsidR="005C5499">
        <w:t>often</w:t>
      </w:r>
      <w:r>
        <w:t xml:space="preserve"> </w:t>
      </w:r>
      <w:r w:rsidR="005C5499">
        <w:t>in</w:t>
      </w:r>
      <w:r>
        <w:t>accurate</w:t>
      </w:r>
    </w:p>
    <w:p w14:paraId="62040712" w14:textId="77777777" w:rsidR="00583EC5" w:rsidRDefault="00583EC5" w:rsidP="00D160AF"/>
    <w:p w14:paraId="3C3F8A68" w14:textId="60D13871" w:rsidR="005776F4" w:rsidRDefault="00E6727F" w:rsidP="009153F2">
      <w:pPr>
        <w:pStyle w:val="Subheading"/>
      </w:pPr>
      <w:r>
        <w:t>Proposed Solution</w:t>
      </w:r>
      <w:r w:rsidR="005776F4">
        <w:t>:</w:t>
      </w:r>
    </w:p>
    <w:p w14:paraId="7F6B72B8" w14:textId="6B49DFE8" w:rsidR="00507273" w:rsidRDefault="00A001CC" w:rsidP="00D160AF">
      <w:pPr>
        <w:pStyle w:val="ListParagraph"/>
        <w:numPr>
          <w:ilvl w:val="0"/>
          <w:numId w:val="6"/>
        </w:numPr>
      </w:pPr>
      <w:r>
        <w:t xml:space="preserve">Remove obligation </w:t>
      </w:r>
      <w:r w:rsidR="005C5499">
        <w:t>o</w:t>
      </w:r>
      <w:r>
        <w:t>n DCC Users to submit quarterly Service Request forecasts</w:t>
      </w:r>
    </w:p>
    <w:p w14:paraId="34255221" w14:textId="5D9EFDED" w:rsidR="00A001CC" w:rsidRDefault="00A001CC" w:rsidP="00D160AF">
      <w:pPr>
        <w:pStyle w:val="ListParagraph"/>
        <w:numPr>
          <w:ilvl w:val="0"/>
          <w:numId w:val="6"/>
        </w:numPr>
      </w:pPr>
      <w:r>
        <w:t xml:space="preserve">The DCC shall provide a report on the </w:t>
      </w:r>
      <w:r w:rsidRPr="00A001CC">
        <w:t>15th Working Day of the months of January, April, July and October. This will set out a forecast of the number of Service Requests that the DCC expect will be sent in each of the nine months following the end of the reported month</w:t>
      </w:r>
    </w:p>
    <w:p w14:paraId="0E1577EA" w14:textId="51B3135F" w:rsidR="00A001CC" w:rsidRDefault="00A001CC" w:rsidP="00D160AF">
      <w:pPr>
        <w:pStyle w:val="ListParagraph"/>
        <w:numPr>
          <w:ilvl w:val="0"/>
          <w:numId w:val="6"/>
        </w:numPr>
      </w:pPr>
      <w:r>
        <w:t>T</w:t>
      </w:r>
      <w:r w:rsidRPr="00A001CC">
        <w:t>he DCC shall provide a report on the 10th Working Day following the end of the month that sets out the number of Service Requests sent during that month, a report setting out the current value for every Monthly Service Metric and a comparison of the current value against the relevant Monthly Service Threshold</w:t>
      </w:r>
    </w:p>
    <w:p w14:paraId="5DFB0D16" w14:textId="5DE7C33F" w:rsidR="00A001CC" w:rsidRDefault="00A001CC" w:rsidP="00D160AF">
      <w:pPr>
        <w:pStyle w:val="ListParagraph"/>
        <w:numPr>
          <w:ilvl w:val="0"/>
          <w:numId w:val="6"/>
        </w:numPr>
      </w:pPr>
      <w:r w:rsidRPr="00A001CC">
        <w:t xml:space="preserve">The DCC </w:t>
      </w:r>
      <w:r>
        <w:t xml:space="preserve">shall </w:t>
      </w:r>
      <w:r w:rsidRPr="00A001CC">
        <w:t xml:space="preserve">provide a report to the </w:t>
      </w:r>
      <w:r w:rsidR="00B17F4C">
        <w:t>Smart Energy Code (</w:t>
      </w:r>
      <w:r w:rsidRPr="00A001CC">
        <w:t>SEC</w:t>
      </w:r>
      <w:r w:rsidR="00B17F4C">
        <w:t>)</w:t>
      </w:r>
      <w:r w:rsidRPr="00A001CC">
        <w:t xml:space="preserve"> Panel that sets out the aggregate number of Service Requests sent by all Users collectively during that month. Comparisons between actual numbers and the most recent forecast will be included</w:t>
      </w:r>
    </w:p>
    <w:p w14:paraId="54193E37" w14:textId="73DB8E4C" w:rsidR="00A001CC" w:rsidRDefault="00A001CC" w:rsidP="00D160AF">
      <w:pPr>
        <w:pStyle w:val="ListParagraph"/>
        <w:numPr>
          <w:ilvl w:val="0"/>
          <w:numId w:val="6"/>
        </w:numPr>
      </w:pPr>
      <w:r w:rsidRPr="00A001CC">
        <w:t xml:space="preserve">The DCC </w:t>
      </w:r>
      <w:r>
        <w:t>shall</w:t>
      </w:r>
      <w:r w:rsidRPr="00A001CC">
        <w:t xml:space="preserve"> provide commentary for any identified reasons why the expected level of accuracy has not been met</w:t>
      </w:r>
    </w:p>
    <w:p w14:paraId="48EEFA09" w14:textId="1F6B774E" w:rsidR="00A001CC" w:rsidRDefault="00A001CC" w:rsidP="00D160AF">
      <w:pPr>
        <w:pStyle w:val="ListParagraph"/>
        <w:numPr>
          <w:ilvl w:val="0"/>
          <w:numId w:val="6"/>
        </w:numPr>
      </w:pPr>
      <w:r>
        <w:t>DCC Users will be requested to feed into the DCC forecasts and make the DCC aware of any scenarios that could result in an increased number of Service Requests being sent</w:t>
      </w:r>
    </w:p>
    <w:p w14:paraId="42567827" w14:textId="6BB77C99" w:rsidR="00761B8A" w:rsidRDefault="00761B8A" w:rsidP="00DF7D1A">
      <w:pPr>
        <w:pStyle w:val="Subheading"/>
      </w:pPr>
    </w:p>
    <w:p w14:paraId="19974437" w14:textId="3C2E4C9B" w:rsidR="003D2EA8" w:rsidRDefault="00DF7D1A" w:rsidP="00DF7D1A">
      <w:pPr>
        <w:pStyle w:val="Subheading"/>
      </w:pPr>
      <w:r>
        <w:t>DCC forecast modelling project themes</w:t>
      </w:r>
      <w:r w:rsidR="003D2EA8">
        <w:t>:</w:t>
      </w:r>
    </w:p>
    <w:p w14:paraId="5595D8B8" w14:textId="1302F455" w:rsidR="00761B8A" w:rsidRDefault="004119F1" w:rsidP="003D2EA8">
      <w:pPr>
        <w:pStyle w:val="ListParagraph"/>
      </w:pPr>
      <w:r>
        <w:t>DCC Service Request forecasts are</w:t>
      </w:r>
      <w:r w:rsidR="005C5499">
        <w:t xml:space="preserve"> shown to have</w:t>
      </w:r>
      <w:r>
        <w:t xml:space="preserve"> typically aligned to actual volumes</w:t>
      </w:r>
    </w:p>
    <w:p w14:paraId="3FE44C3A" w14:textId="5AC6393F" w:rsidR="004119F1" w:rsidRDefault="004119F1" w:rsidP="003D2EA8">
      <w:pPr>
        <w:pStyle w:val="ListParagraph"/>
      </w:pPr>
      <w:r>
        <w:t>The Service Requests with the greatest variance between forecast and actual are associated with installations and firmware</w:t>
      </w:r>
    </w:p>
    <w:p w14:paraId="6932118E" w14:textId="018F0C9E" w:rsidR="004119F1" w:rsidRDefault="00505898" w:rsidP="003D2EA8">
      <w:pPr>
        <w:pStyle w:val="ListParagraph"/>
      </w:pPr>
      <w:r w:rsidRPr="00505898">
        <w:drawing>
          <wp:anchor distT="0" distB="0" distL="114300" distR="114300" simplePos="0" relativeHeight="251662336" behindDoc="0" locked="0" layoutInCell="1" allowOverlap="1" wp14:anchorId="3FB156E0" wp14:editId="1D67CF46">
            <wp:simplePos x="0" y="0"/>
            <wp:positionH relativeFrom="column">
              <wp:posOffset>-35999</wp:posOffset>
            </wp:positionH>
            <wp:positionV relativeFrom="paragraph">
              <wp:posOffset>190744</wp:posOffset>
            </wp:positionV>
            <wp:extent cx="6091200" cy="23868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91200" cy="2386800"/>
                    </a:xfrm>
                    <a:prstGeom prst="rect">
                      <a:avLst/>
                    </a:prstGeom>
                  </pic:spPr>
                </pic:pic>
              </a:graphicData>
            </a:graphic>
            <wp14:sizeRelH relativeFrom="margin">
              <wp14:pctWidth>0</wp14:pctWidth>
            </wp14:sizeRelH>
            <wp14:sizeRelV relativeFrom="margin">
              <wp14:pctHeight>0</wp14:pctHeight>
            </wp14:sizeRelV>
          </wp:anchor>
        </w:drawing>
      </w:r>
      <w:r w:rsidR="004119F1">
        <w:t>Forecast process overview:</w:t>
      </w:r>
    </w:p>
    <w:p w14:paraId="55784AED" w14:textId="320F1AAB" w:rsidR="00505898" w:rsidRDefault="00505898" w:rsidP="00505898">
      <w:pPr>
        <w:pStyle w:val="ListParagraph"/>
        <w:numPr>
          <w:ilvl w:val="0"/>
          <w:numId w:val="0"/>
        </w:numPr>
        <w:ind w:left="720"/>
      </w:pPr>
    </w:p>
    <w:p w14:paraId="087ED5EF" w14:textId="0DEB9634" w:rsidR="00505898" w:rsidRDefault="00505898" w:rsidP="00505898">
      <w:pPr>
        <w:pStyle w:val="ListParagraph"/>
        <w:numPr>
          <w:ilvl w:val="0"/>
          <w:numId w:val="0"/>
        </w:numPr>
        <w:ind w:left="720"/>
      </w:pPr>
    </w:p>
    <w:p w14:paraId="21EDF8FF" w14:textId="417619A4" w:rsidR="00505898" w:rsidRDefault="00505898" w:rsidP="00505898">
      <w:pPr>
        <w:pStyle w:val="ListParagraph"/>
        <w:numPr>
          <w:ilvl w:val="0"/>
          <w:numId w:val="0"/>
        </w:numPr>
        <w:ind w:left="720"/>
      </w:pPr>
    </w:p>
    <w:p w14:paraId="6AC27B99" w14:textId="420C8050" w:rsidR="00505898" w:rsidRDefault="00505898" w:rsidP="00505898">
      <w:pPr>
        <w:pStyle w:val="ListParagraph"/>
        <w:numPr>
          <w:ilvl w:val="0"/>
          <w:numId w:val="0"/>
        </w:numPr>
        <w:ind w:left="720"/>
      </w:pPr>
    </w:p>
    <w:p w14:paraId="74A34DD5" w14:textId="37EDDD3D" w:rsidR="00505898" w:rsidRDefault="00505898" w:rsidP="00505898">
      <w:pPr>
        <w:pStyle w:val="ListParagraph"/>
        <w:numPr>
          <w:ilvl w:val="0"/>
          <w:numId w:val="0"/>
        </w:numPr>
        <w:ind w:left="720"/>
      </w:pPr>
    </w:p>
    <w:p w14:paraId="3B4D468D" w14:textId="1E985D73" w:rsidR="00505898" w:rsidRDefault="00505898" w:rsidP="00505898">
      <w:pPr>
        <w:pStyle w:val="ListParagraph"/>
        <w:numPr>
          <w:ilvl w:val="0"/>
          <w:numId w:val="0"/>
        </w:numPr>
        <w:ind w:left="720"/>
      </w:pPr>
    </w:p>
    <w:p w14:paraId="5645D087" w14:textId="63EBDC05" w:rsidR="00505898" w:rsidRDefault="00505898" w:rsidP="00505898">
      <w:pPr>
        <w:pStyle w:val="ListParagraph"/>
        <w:numPr>
          <w:ilvl w:val="0"/>
          <w:numId w:val="0"/>
        </w:numPr>
        <w:ind w:left="720"/>
      </w:pPr>
    </w:p>
    <w:p w14:paraId="6A648B0C" w14:textId="2E374665" w:rsidR="00505898" w:rsidRDefault="00505898" w:rsidP="00505898">
      <w:pPr>
        <w:pStyle w:val="ListParagraph"/>
        <w:numPr>
          <w:ilvl w:val="0"/>
          <w:numId w:val="0"/>
        </w:numPr>
        <w:ind w:left="720"/>
      </w:pPr>
    </w:p>
    <w:p w14:paraId="19944DE9" w14:textId="77777777" w:rsidR="00505898" w:rsidRDefault="00505898" w:rsidP="00505898">
      <w:pPr>
        <w:pStyle w:val="ListParagraph"/>
        <w:numPr>
          <w:ilvl w:val="0"/>
          <w:numId w:val="0"/>
        </w:numPr>
        <w:ind w:left="720"/>
      </w:pPr>
    </w:p>
    <w:p w14:paraId="5A37397C" w14:textId="77777777" w:rsidR="00505898" w:rsidRDefault="00505898" w:rsidP="00505898">
      <w:pPr>
        <w:pStyle w:val="ListParagraph"/>
        <w:numPr>
          <w:ilvl w:val="0"/>
          <w:numId w:val="0"/>
        </w:numPr>
        <w:ind w:left="720"/>
      </w:pPr>
    </w:p>
    <w:p w14:paraId="7ABB4030" w14:textId="0AA7AA45" w:rsidR="007A26CE" w:rsidRDefault="007A26CE" w:rsidP="007A26CE">
      <w:pPr>
        <w:pStyle w:val="ListParagraph"/>
      </w:pPr>
      <w:r>
        <w:t>Consensus forecast and sign-off process:</w:t>
      </w:r>
    </w:p>
    <w:p w14:paraId="0A60AD17" w14:textId="77777777" w:rsidR="007A26CE" w:rsidRPr="007A26CE" w:rsidRDefault="007A26CE" w:rsidP="007A26CE">
      <w:pPr>
        <w:pStyle w:val="ListParagraph"/>
        <w:numPr>
          <w:ilvl w:val="1"/>
          <w:numId w:val="3"/>
        </w:numPr>
      </w:pPr>
      <w:r w:rsidRPr="007A26CE">
        <w:t>Review and influence industry traffic, behaviour and trends</w:t>
      </w:r>
    </w:p>
    <w:p w14:paraId="39DCEF66" w14:textId="77777777" w:rsidR="007A26CE" w:rsidRPr="007A26CE" w:rsidRDefault="007A26CE" w:rsidP="007A26CE">
      <w:pPr>
        <w:pStyle w:val="ListParagraph"/>
        <w:numPr>
          <w:ilvl w:val="1"/>
          <w:numId w:val="3"/>
        </w:numPr>
      </w:pPr>
      <w:r w:rsidRPr="007A26CE">
        <w:lastRenderedPageBreak/>
        <w:t>Quarterly meeting of User representatives who can advise the DCC on User behaviour</w:t>
      </w:r>
    </w:p>
    <w:p w14:paraId="6BD8DDB1" w14:textId="49E7E438" w:rsidR="007A26CE" w:rsidRPr="007A26CE" w:rsidRDefault="007A26CE" w:rsidP="007A26CE">
      <w:pPr>
        <w:pStyle w:val="ListParagraph"/>
        <w:numPr>
          <w:ilvl w:val="1"/>
          <w:numId w:val="3"/>
        </w:numPr>
      </w:pPr>
      <w:r w:rsidRPr="007A26CE">
        <w:t xml:space="preserve">Enriched forecast available to User representatives 5 </w:t>
      </w:r>
      <w:r>
        <w:t>W</w:t>
      </w:r>
      <w:r w:rsidRPr="007A26CE">
        <w:t xml:space="preserve">orking </w:t>
      </w:r>
      <w:r>
        <w:t>D</w:t>
      </w:r>
      <w:r w:rsidRPr="007A26CE">
        <w:t>ays before the review</w:t>
      </w:r>
    </w:p>
    <w:p w14:paraId="79BDADA2" w14:textId="77777777" w:rsidR="007A26CE" w:rsidRPr="007A26CE" w:rsidRDefault="007A26CE" w:rsidP="007A26CE">
      <w:pPr>
        <w:pStyle w:val="ListParagraph"/>
        <w:numPr>
          <w:ilvl w:val="1"/>
          <w:numId w:val="3"/>
        </w:numPr>
      </w:pPr>
      <w:r w:rsidRPr="007A26CE">
        <w:t>Forecast variance presented and proposals discussed to correct areas of significant variance</w:t>
      </w:r>
    </w:p>
    <w:p w14:paraId="5D3BDFF2" w14:textId="72DD0FEA" w:rsidR="007A26CE" w:rsidRDefault="007A26CE" w:rsidP="007A26CE">
      <w:pPr>
        <w:pStyle w:val="ListParagraph"/>
        <w:numPr>
          <w:ilvl w:val="1"/>
          <w:numId w:val="3"/>
        </w:numPr>
      </w:pPr>
      <w:r w:rsidRPr="007A26CE">
        <w:t>Business scenarios reviewed and amended or additions proposed and agreed</w:t>
      </w:r>
    </w:p>
    <w:p w14:paraId="47AC3AEF" w14:textId="64156559" w:rsidR="007A26CE" w:rsidRPr="007A26CE" w:rsidRDefault="007A26CE" w:rsidP="007A26CE">
      <w:pPr>
        <w:pStyle w:val="ListParagraph"/>
        <w:numPr>
          <w:ilvl w:val="1"/>
          <w:numId w:val="3"/>
        </w:numPr>
      </w:pPr>
      <w:r w:rsidRPr="007A26CE">
        <w:t xml:space="preserve">Final forecast shared with SEC Panel / </w:t>
      </w:r>
      <w:r>
        <w:t>OPSG</w:t>
      </w:r>
      <w:r w:rsidRPr="007A26CE">
        <w:t xml:space="preserve"> for review and sign off</w:t>
      </w:r>
    </w:p>
    <w:p w14:paraId="355DC9B4" w14:textId="02152A01" w:rsidR="007A26CE" w:rsidRPr="007A26CE" w:rsidRDefault="007A26CE" w:rsidP="007A26CE">
      <w:pPr>
        <w:pStyle w:val="ListParagraph"/>
        <w:numPr>
          <w:ilvl w:val="1"/>
          <w:numId w:val="3"/>
        </w:numPr>
      </w:pPr>
      <w:r w:rsidRPr="007A26CE">
        <w:t xml:space="preserve">If sign off is conditional then forecast is updated and provided for offline sign-off 5 days after </w:t>
      </w:r>
      <w:r w:rsidR="00B17F4C">
        <w:t>the Operations Group meeting (</w:t>
      </w:r>
      <w:r>
        <w:t>OPSG</w:t>
      </w:r>
      <w:r w:rsidR="00B17F4C">
        <w:t>)</w:t>
      </w:r>
    </w:p>
    <w:p w14:paraId="25B88AA8" w14:textId="506ECBB0" w:rsidR="007A26CE" w:rsidRDefault="007A26CE" w:rsidP="007A26CE">
      <w:pPr>
        <w:pStyle w:val="ListParagraph"/>
        <w:numPr>
          <w:ilvl w:val="1"/>
          <w:numId w:val="3"/>
        </w:numPr>
      </w:pPr>
      <w:r w:rsidRPr="007A26CE">
        <w:t xml:space="preserve">Sign off required 10 days following </w:t>
      </w:r>
      <w:r>
        <w:t>OPSG</w:t>
      </w:r>
    </w:p>
    <w:p w14:paraId="4588F63B" w14:textId="68AEEF80" w:rsidR="007A26CE" w:rsidRDefault="007A26CE" w:rsidP="007A26CE">
      <w:pPr>
        <w:pStyle w:val="ListParagraph"/>
      </w:pPr>
      <w:r>
        <w:t>Forecast variance reporting:</w:t>
      </w:r>
    </w:p>
    <w:p w14:paraId="45AB0440" w14:textId="21452E86" w:rsidR="007A26CE" w:rsidRPr="007A26CE" w:rsidRDefault="007A26CE" w:rsidP="007A26CE">
      <w:pPr>
        <w:pStyle w:val="ListParagraph"/>
        <w:numPr>
          <w:ilvl w:val="1"/>
          <w:numId w:val="3"/>
        </w:numPr>
      </w:pPr>
      <w:r w:rsidRPr="007A26CE">
        <w:t xml:space="preserve">Published on </w:t>
      </w:r>
      <w:r>
        <w:t xml:space="preserve">DCC </w:t>
      </w:r>
      <w:r w:rsidRPr="007A26CE">
        <w:t>SharePoint available to all Users</w:t>
      </w:r>
    </w:p>
    <w:p w14:paraId="4CCED820" w14:textId="786F50F6" w:rsidR="007A26CE" w:rsidRPr="007A26CE" w:rsidRDefault="007A26CE" w:rsidP="007A26CE">
      <w:pPr>
        <w:pStyle w:val="ListParagraph"/>
        <w:numPr>
          <w:ilvl w:val="1"/>
          <w:numId w:val="3"/>
        </w:numPr>
      </w:pPr>
      <w:r w:rsidRPr="007A26CE">
        <w:t xml:space="preserve">Presented at </w:t>
      </w:r>
      <w:r>
        <w:t>OPSG in the months of</w:t>
      </w:r>
      <w:r w:rsidRPr="007A26CE">
        <w:t xml:space="preserve"> March, June, September</w:t>
      </w:r>
      <w:r>
        <w:t xml:space="preserve"> and</w:t>
      </w:r>
      <w:r w:rsidRPr="007A26CE">
        <w:t xml:space="preserve"> December</w:t>
      </w:r>
    </w:p>
    <w:p w14:paraId="36462B67" w14:textId="2773A66F" w:rsidR="007A26CE" w:rsidRPr="007A26CE" w:rsidRDefault="007A26CE" w:rsidP="007A26CE">
      <w:pPr>
        <w:pStyle w:val="ListParagraph"/>
        <w:numPr>
          <w:ilvl w:val="1"/>
          <w:numId w:val="3"/>
        </w:numPr>
      </w:pPr>
      <w:r w:rsidRPr="007A26CE">
        <w:t>Forecast Variance Report of top 25 S</w:t>
      </w:r>
      <w:r>
        <w:t xml:space="preserve">ervice </w:t>
      </w:r>
      <w:r w:rsidRPr="007A26CE">
        <w:t>R</w:t>
      </w:r>
      <w:r>
        <w:t xml:space="preserve">equest </w:t>
      </w:r>
      <w:r w:rsidRPr="007A26CE">
        <w:t>V</w:t>
      </w:r>
      <w:r>
        <w:t>ariant</w:t>
      </w:r>
      <w:r w:rsidRPr="007A26CE">
        <w:t>s</w:t>
      </w:r>
      <w:r w:rsidR="00B17F4C">
        <w:t xml:space="preserve"> (SRVs)</w:t>
      </w:r>
    </w:p>
    <w:p w14:paraId="3CFBD7D9" w14:textId="77777777" w:rsidR="007A26CE" w:rsidRPr="007A26CE" w:rsidRDefault="007A26CE" w:rsidP="007A26CE">
      <w:pPr>
        <w:pStyle w:val="ListParagraph"/>
        <w:numPr>
          <w:ilvl w:val="1"/>
          <w:numId w:val="3"/>
        </w:numPr>
      </w:pPr>
      <w:r w:rsidRPr="007A26CE">
        <w:t xml:space="preserve">Covers previous period of previous forecast </w:t>
      </w:r>
    </w:p>
    <w:p w14:paraId="1A26F4D1" w14:textId="249479F9" w:rsidR="007A26CE" w:rsidRPr="00CA3024" w:rsidRDefault="007A26CE" w:rsidP="007A26CE">
      <w:pPr>
        <w:pStyle w:val="ListParagraph"/>
        <w:numPr>
          <w:ilvl w:val="1"/>
          <w:numId w:val="3"/>
        </w:numPr>
      </w:pPr>
      <w:r w:rsidRPr="007A26CE">
        <w:t>Provides commentary on variance and route to correct variance</w:t>
      </w:r>
    </w:p>
    <w:p w14:paraId="316EA791" w14:textId="469784D6" w:rsidR="00E31D79" w:rsidRDefault="009949FA" w:rsidP="00387635">
      <w:pPr>
        <w:pStyle w:val="Subtitle"/>
      </w:pPr>
      <w:r>
        <w:t>Working Group d</w:t>
      </w:r>
      <w:r w:rsidR="00E31D79">
        <w:t>iscussions</w:t>
      </w:r>
    </w:p>
    <w:p w14:paraId="3DCFDEAF" w14:textId="1145036B" w:rsidR="00F85CE1" w:rsidRDefault="00F85CE1" w:rsidP="00F85CE1">
      <w:r>
        <w:t>SECAS presented the issue to the Working Group who acknowledged the issue and added no further comments.</w:t>
      </w:r>
    </w:p>
    <w:p w14:paraId="10D1175A" w14:textId="718A74C0" w:rsidR="0048680F" w:rsidRDefault="00AA11BF" w:rsidP="00F85CE1">
      <w:r>
        <w:t xml:space="preserve">SECAS provided a breakdown of the Proposed Solution. </w:t>
      </w:r>
      <w:r w:rsidR="0048680F">
        <w:t xml:space="preserve">The Working Group are happy for the </w:t>
      </w:r>
      <w:r w:rsidR="00E50945">
        <w:t>obligation</w:t>
      </w:r>
      <w:r w:rsidR="0048680F">
        <w:t xml:space="preserve"> to be removed on the DCC User, with the assurance that the DCC can facilitate </w:t>
      </w:r>
      <w:r w:rsidR="000F01A9">
        <w:t xml:space="preserve">the level of </w:t>
      </w:r>
      <w:r w:rsidR="00C50BB9">
        <w:t>DCC User</w:t>
      </w:r>
      <w:r w:rsidR="0048680F">
        <w:t xml:space="preserve"> usage from the new forecasting process</w:t>
      </w:r>
      <w:r w:rsidR="000F75DB">
        <w:t xml:space="preserve"> and the input required from DCC Users </w:t>
      </w:r>
      <w:r w:rsidR="005C5499">
        <w:t xml:space="preserve">is </w:t>
      </w:r>
      <w:r w:rsidR="000F75DB">
        <w:t>clearly defined</w:t>
      </w:r>
      <w:r w:rsidR="0048680F">
        <w:t>.</w:t>
      </w:r>
    </w:p>
    <w:p w14:paraId="1671B8E2" w14:textId="4AB79F37" w:rsidR="000B05C0" w:rsidRDefault="00AA11BF" w:rsidP="00F85CE1">
      <w:r>
        <w:t>The Working Group was concerned with the role of the DCC User under the Proposed Solution</w:t>
      </w:r>
      <w:r w:rsidR="005C5499">
        <w:t>, specifically that Users would be required to still submit information and forecasts around exceptional use (for instance if a new price cap was due to be implemented or if the User expected to perform a firmware upgrade)</w:t>
      </w:r>
      <w:r>
        <w:t xml:space="preserve">. </w:t>
      </w:r>
      <w:r w:rsidR="00C50BB9">
        <w:t xml:space="preserve">In </w:t>
      </w:r>
      <w:r w:rsidR="005C5499">
        <w:t xml:space="preserve">the </w:t>
      </w:r>
      <w:r w:rsidR="00C50BB9">
        <w:t xml:space="preserve">current </w:t>
      </w:r>
      <w:r w:rsidR="005C5499">
        <w:t>solution</w:t>
      </w:r>
      <w:r>
        <w:t xml:space="preserve">, there is ambiguity </w:t>
      </w:r>
      <w:r w:rsidR="005C5499">
        <w:t xml:space="preserve">around the details </w:t>
      </w:r>
      <w:r>
        <w:t xml:space="preserve">as to what is required of the DCC User </w:t>
      </w:r>
      <w:r w:rsidR="00C50BB9">
        <w:t>once obligations are removed</w:t>
      </w:r>
      <w:r>
        <w:t>.</w:t>
      </w:r>
      <w:r w:rsidR="007943C4">
        <w:t xml:space="preserve"> The Working Group believe</w:t>
      </w:r>
      <w:r w:rsidR="005C5499">
        <w:t>d</w:t>
      </w:r>
      <w:r w:rsidR="007943C4">
        <w:t xml:space="preserve"> that the role of the DCC User in the Proposed Solution should be </w:t>
      </w:r>
      <w:r w:rsidR="009B4841">
        <w:t>explicitly set</w:t>
      </w:r>
      <w:r w:rsidR="005C5499">
        <w:t xml:space="preserve"> out </w:t>
      </w:r>
      <w:r w:rsidR="007943C4">
        <w:t>within a guidance document. It was suggested that it should be included within the DCC</w:t>
      </w:r>
      <w:r w:rsidR="000B05C0">
        <w:t xml:space="preserve"> </w:t>
      </w:r>
      <w:r w:rsidR="00C50BB9">
        <w:t>Anomaly Detection Threshold (</w:t>
      </w:r>
      <w:r w:rsidR="000B05C0">
        <w:t>ADT</w:t>
      </w:r>
      <w:r w:rsidR="00C50BB9">
        <w:t>)</w:t>
      </w:r>
      <w:r w:rsidR="000B05C0">
        <w:t xml:space="preserve"> and Forecasting Guidance Document.</w:t>
      </w:r>
    </w:p>
    <w:p w14:paraId="1FA0E7F4" w14:textId="07DB9D1A" w:rsidR="00AA11BF" w:rsidRDefault="000B05C0" w:rsidP="00F85CE1">
      <w:r>
        <w:t xml:space="preserve">The Working Group suggested that the User’s role should be included within the document before the modification progresses to the Refinement Consultation. </w:t>
      </w:r>
      <w:r w:rsidR="00C50BB9">
        <w:t xml:space="preserve">This will allow for more informed consultation responses. </w:t>
      </w:r>
      <w:r w:rsidR="00505898">
        <w:t>It was also suggested</w:t>
      </w:r>
      <w:r w:rsidR="00730BA3">
        <w:t xml:space="preserve"> to amend the legal text to include a reference to the guidance document. This will also be </w:t>
      </w:r>
      <w:r w:rsidR="00AA6424">
        <w:t>considered by the Proposer</w:t>
      </w:r>
      <w:r w:rsidR="00730BA3">
        <w:t>. The DCC advised that the added guidance would have to be run by the Design Release Forum.</w:t>
      </w:r>
    </w:p>
    <w:p w14:paraId="0A263B06" w14:textId="7F2C9CD0" w:rsidR="00730BA3" w:rsidRDefault="00730BA3" w:rsidP="00F85CE1">
      <w:r w:rsidRPr="00BE43A3">
        <w:t xml:space="preserve">As stated in a previous Working Group discussion, members want clarity regarding what will be expected of </w:t>
      </w:r>
      <w:r w:rsidR="000F75DB" w:rsidRPr="00BE43A3">
        <w:t>the SEC Party</w:t>
      </w:r>
      <w:r w:rsidRPr="00BE43A3">
        <w:t xml:space="preserve"> to allow them to allocate resource accordingly.</w:t>
      </w:r>
      <w:r w:rsidR="00BE43A3">
        <w:t xml:space="preserve"> If they are still required to validate the DCC forecasts and provide additional information as to any exceptional usage, they will </w:t>
      </w:r>
      <w:r w:rsidR="00BE43A3">
        <w:lastRenderedPageBreak/>
        <w:t>still need to keep their forecasting resources in place and will not receive any benefits from the modification.</w:t>
      </w:r>
    </w:p>
    <w:p w14:paraId="7133E452" w14:textId="6D98E601" w:rsidR="00730BA3" w:rsidRDefault="00730BA3" w:rsidP="00F85CE1">
      <w:r>
        <w:t xml:space="preserve">The DCC provided a detailed breakdown of their forecast modelling process. The Working Group queried whether the </w:t>
      </w:r>
      <w:r w:rsidR="00BB1D73">
        <w:t>forecast process would account for industry</w:t>
      </w:r>
      <w:r w:rsidR="000F01A9">
        <w:t>-</w:t>
      </w:r>
      <w:r w:rsidR="00BB1D73">
        <w:t>wide changes, such as a change stemming from the Balanc</w:t>
      </w:r>
      <w:r w:rsidR="00AA6424">
        <w:t>ing</w:t>
      </w:r>
      <w:r w:rsidR="00BB1D73">
        <w:t xml:space="preserve"> and Settlement Code (BSC). The DCC responded that they are aware of these changes and will be calling on their Regulation Team to feed into the ‘Enriched Forecast’ stage of the process. This was met with some scepticism due to the DCC previous </w:t>
      </w:r>
      <w:r w:rsidR="00AA6424">
        <w:t xml:space="preserve">not being aware of  </w:t>
      </w:r>
      <w:r w:rsidR="00BB1D73">
        <w:t>the impact of an industry</w:t>
      </w:r>
      <w:r w:rsidR="000F01A9">
        <w:t>-</w:t>
      </w:r>
      <w:r w:rsidR="00BB1D73">
        <w:t>wide price cap.</w:t>
      </w:r>
    </w:p>
    <w:p w14:paraId="1332068F" w14:textId="617FF873" w:rsidR="00A42421" w:rsidRDefault="00A42421" w:rsidP="00F85CE1">
      <w:r>
        <w:t xml:space="preserve">The DCC sought to clarify the discrepancy between the number of Service Requests a DCC User has sent </w:t>
      </w:r>
      <w:r w:rsidR="000F01A9">
        <w:t>and</w:t>
      </w:r>
      <w:r>
        <w:t xml:space="preserve"> what has been counted by the DCC. The DCC confirmed that this was caused by filtering attributes from t</w:t>
      </w:r>
      <w:r w:rsidR="000F01A9">
        <w:t>he DCC</w:t>
      </w:r>
      <w:r>
        <w:t xml:space="preserve"> perspective.</w:t>
      </w:r>
      <w:r w:rsidR="000F01A9">
        <w:t xml:space="preserve"> The DCC confirmed that their numbers are significantly closer to those of DCC Users</w:t>
      </w:r>
      <w:r w:rsidR="000F75DB">
        <w:t xml:space="preserve"> once filtering has been removed</w:t>
      </w:r>
      <w:r w:rsidR="000F01A9">
        <w:t>.</w:t>
      </w:r>
    </w:p>
    <w:p w14:paraId="5B3A7B59" w14:textId="7D7D2669" w:rsidR="00A42421" w:rsidRDefault="00A42421" w:rsidP="00F85CE1">
      <w:r>
        <w:t>Critical Commands were discussed</w:t>
      </w:r>
      <w:r w:rsidR="002925A9">
        <w:t xml:space="preserve"> as </w:t>
      </w:r>
      <w:r>
        <w:t xml:space="preserve">the DCC apply </w:t>
      </w:r>
      <w:r w:rsidR="002925A9">
        <w:t xml:space="preserve">these </w:t>
      </w:r>
      <w:r>
        <w:t>in two parts</w:t>
      </w:r>
      <w:r w:rsidR="002925A9">
        <w:t xml:space="preserve"> once received from the relevant User</w:t>
      </w:r>
      <w:r>
        <w:t>. The DCC confirmed that they only count this as one Service Request.</w:t>
      </w:r>
    </w:p>
    <w:p w14:paraId="63E49B56" w14:textId="26DC0573" w:rsidR="00BB1D73" w:rsidRDefault="00B15328" w:rsidP="00F85CE1">
      <w:r>
        <w:t xml:space="preserve">The DCC gave an overview of the ‘Consensus Forecast’ stage of the forecast process, which is where DCC User input will be required. The Working Group questioned the approach of gathering the DCC User input. The DCC suggested it would be through </w:t>
      </w:r>
      <w:r w:rsidR="005C0EDF">
        <w:t xml:space="preserve">a focused group or </w:t>
      </w:r>
      <w:r w:rsidR="000F75DB">
        <w:t xml:space="preserve">via </w:t>
      </w:r>
      <w:r w:rsidR="005C0EDF">
        <w:t>the</w:t>
      </w:r>
      <w:r w:rsidR="00505898">
        <w:t xml:space="preserve"> SEC Operations Group</w:t>
      </w:r>
      <w:r w:rsidR="005C0EDF">
        <w:t xml:space="preserve"> </w:t>
      </w:r>
      <w:r w:rsidR="00505898">
        <w:t>(</w:t>
      </w:r>
      <w:r w:rsidR="005C0EDF" w:rsidRPr="00AA6424">
        <w:t>OPSG</w:t>
      </w:r>
      <w:r w:rsidR="00505898">
        <w:t>)</w:t>
      </w:r>
      <w:r w:rsidR="005C0EDF">
        <w:t>. The Working Group advised that each type of SEC Party would need to provide feedback on expected behaviour, which could result in a large group</w:t>
      </w:r>
      <w:r w:rsidR="00DB079D">
        <w:t xml:space="preserve"> that may </w:t>
      </w:r>
      <w:r w:rsidR="00AA6424">
        <w:t>present significant logistical issues, with regards to availability and commercial considerations</w:t>
      </w:r>
      <w:r w:rsidR="005C0EDF">
        <w:t>.</w:t>
      </w:r>
    </w:p>
    <w:p w14:paraId="0564925E" w14:textId="4483F62C" w:rsidR="0048680F" w:rsidRDefault="005C0EDF" w:rsidP="00F85CE1">
      <w:r>
        <w:t xml:space="preserve">The Working Group highlighted a key point </w:t>
      </w:r>
      <w:r w:rsidR="00BE43A3">
        <w:t xml:space="preserve">that </w:t>
      </w:r>
      <w:r>
        <w:t xml:space="preserve">although approximately 20 Service Request Variants </w:t>
      </w:r>
      <w:r w:rsidR="003E4684">
        <w:t xml:space="preserve">(SRVs) </w:t>
      </w:r>
      <w:r w:rsidR="0048680F">
        <w:t>cause 90% of traffic,</w:t>
      </w:r>
      <w:r w:rsidR="00DB079D">
        <w:t xml:space="preserve"> </w:t>
      </w:r>
      <w:r w:rsidR="0048680F">
        <w:t xml:space="preserve">this will not always be the case and so the DCC should not solely focus on these SRVs. Currently unused SRVs may well be used in high volumes in the future and so should not be </w:t>
      </w:r>
      <w:r w:rsidR="00BE43A3">
        <w:t>discounted</w:t>
      </w:r>
      <w:r w:rsidR="0048680F">
        <w:t>.</w:t>
      </w:r>
    </w:p>
    <w:p w14:paraId="0B2E71BB" w14:textId="1587C736" w:rsidR="00C257A7" w:rsidRDefault="00C257A7" w:rsidP="00F85CE1">
      <w:r>
        <w:t>Furthermore, the Working Group commented that there will be situations where Service Requests will need to be resent. This will result in inaccurate forecasts. For example, firmware upgrades can be unsuccessful across a large volume of Devices, which will then result in a second attempt which cannot be forecast.</w:t>
      </w:r>
    </w:p>
    <w:p w14:paraId="6024AFA7" w14:textId="50B91C79" w:rsidR="006C64EA" w:rsidRDefault="006C64EA" w:rsidP="00F85CE1">
      <w:r>
        <w:t>The DCC presented the business scenarios which they believe should be included in the forecasts and asked the Working Group which other scenarios, events or changes in behaviour need to be included. The Working Group suggested that changes to User</w:t>
      </w:r>
      <w:r w:rsidR="00BE43A3">
        <w:t>’s</w:t>
      </w:r>
      <w:r>
        <w:t xml:space="preserve"> business processes will need to be included as this could potentially impact the number of Service Requests being sent.</w:t>
      </w:r>
      <w:r w:rsidR="00853C8B">
        <w:t xml:space="preserve"> The DCC ruled out the need to include DCC User testing.</w:t>
      </w:r>
    </w:p>
    <w:p w14:paraId="7A5F00AF" w14:textId="36FF6E03" w:rsidR="00A42421" w:rsidRDefault="00A42421" w:rsidP="00F85CE1">
      <w:r>
        <w:t xml:space="preserve">A Working Group member commented that the capacity of the DCC System is </w:t>
      </w:r>
      <w:r w:rsidR="0026436B">
        <w:t xml:space="preserve">significantly larger than what is currently forecasted, however this could be under threat if </w:t>
      </w:r>
      <w:r w:rsidR="00DB079D">
        <w:t>a large number of different</w:t>
      </w:r>
      <w:r w:rsidR="0026436B">
        <w:t xml:space="preserve"> Service Requests are sent at once.</w:t>
      </w:r>
    </w:p>
    <w:p w14:paraId="55D21970" w14:textId="5F991EFE" w:rsidR="00E50945" w:rsidRDefault="00E50945" w:rsidP="00F85CE1">
      <w:r>
        <w:t xml:space="preserve">The Working Group agreed that the modification needs further refinement and </w:t>
      </w:r>
      <w:r w:rsidR="00C257A7">
        <w:t>more detail added to the DCC User input before the modification can progress to the Refinement Consultation. SECAS will work with the Proposer and DCC to answer the key points raised by the Working Group before returning to a future meeting.</w:t>
      </w:r>
    </w:p>
    <w:p w14:paraId="44CD957C" w14:textId="4B7FEAEE" w:rsidR="005C0EDF" w:rsidRDefault="005C0EDF" w:rsidP="00F85CE1">
      <w:r>
        <w:t xml:space="preserve"> </w:t>
      </w:r>
    </w:p>
    <w:p w14:paraId="776BDF4E" w14:textId="77777777" w:rsidR="00490947" w:rsidRDefault="00490947" w:rsidP="00387635">
      <w:pPr>
        <w:pStyle w:val="Subtitle"/>
      </w:pPr>
      <w:r>
        <w:lastRenderedPageBreak/>
        <w:t>Next Steps</w:t>
      </w:r>
    </w:p>
    <w:p w14:paraId="0062A635" w14:textId="6CCCE1CD" w:rsidR="00490947" w:rsidRDefault="00490947" w:rsidP="00490947">
      <w:pPr>
        <w:rPr>
          <w:szCs w:val="20"/>
        </w:rPr>
      </w:pPr>
      <w:r>
        <w:rPr>
          <w:szCs w:val="20"/>
        </w:rPr>
        <w:t>The following action</w:t>
      </w:r>
      <w:r w:rsidR="000126A7">
        <w:rPr>
          <w:szCs w:val="20"/>
        </w:rPr>
        <w:t>s</w:t>
      </w:r>
      <w:r>
        <w:rPr>
          <w:szCs w:val="20"/>
        </w:rPr>
        <w:t xml:space="preserve"> </w:t>
      </w:r>
      <w:r w:rsidR="009949FA">
        <w:rPr>
          <w:szCs w:val="20"/>
        </w:rPr>
        <w:t xml:space="preserve">were </w:t>
      </w:r>
      <w:r>
        <w:rPr>
          <w:szCs w:val="20"/>
        </w:rPr>
        <w:t>recorded from the meeting:</w:t>
      </w:r>
    </w:p>
    <w:p w14:paraId="39F6CB07" w14:textId="35178C4B" w:rsidR="00D826AC" w:rsidRDefault="003B12CA" w:rsidP="00516EC5">
      <w:pPr>
        <w:pStyle w:val="ListParagraph"/>
      </w:pPr>
      <w:r>
        <w:t xml:space="preserve">SECAS will </w:t>
      </w:r>
      <w:r w:rsidR="00C3392A">
        <w:t>work with the Proposer and DCC to investigate adding guidance on DCC User input</w:t>
      </w:r>
    </w:p>
    <w:p w14:paraId="636DED51" w14:textId="2035A92B" w:rsidR="00C3392A" w:rsidRDefault="00C3392A" w:rsidP="00516EC5">
      <w:pPr>
        <w:pStyle w:val="ListParagraph"/>
      </w:pPr>
      <w:r>
        <w:t>SECAS will present MP116 to the Working Group once the solution is further refined</w:t>
      </w:r>
    </w:p>
    <w:p w14:paraId="45A7932A" w14:textId="7377DD3F" w:rsidR="00EC5C31" w:rsidRDefault="00EC5C31" w:rsidP="00516EC5">
      <w:pPr>
        <w:pStyle w:val="ListParagraph"/>
      </w:pPr>
      <w:r>
        <w:t>The DCC are to provide a more detailed flow diagram of the Proposed Solution as part of the next Working Group meeting materials.</w:t>
      </w:r>
    </w:p>
    <w:p w14:paraId="79A55309" w14:textId="213F1C13" w:rsidR="000F16D0" w:rsidRPr="003423F3" w:rsidRDefault="000F16D0" w:rsidP="00E152A7"/>
    <w:sectPr w:rsidR="000F16D0" w:rsidRPr="003423F3" w:rsidSect="00633F6B">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BD166" w14:textId="77777777" w:rsidR="00255929" w:rsidRDefault="00255929" w:rsidP="004F458B">
      <w:pPr>
        <w:spacing w:after="0" w:line="240" w:lineRule="auto"/>
      </w:pPr>
      <w:r>
        <w:separator/>
      </w:r>
    </w:p>
  </w:endnote>
  <w:endnote w:type="continuationSeparator" w:id="0">
    <w:p w14:paraId="2C145492" w14:textId="77777777" w:rsidR="00255929" w:rsidRDefault="00255929"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034"/>
      <w:gridCol w:w="2997"/>
    </w:tblGrid>
    <w:tr w:rsidR="00800AF2" w:rsidRPr="00633F6B" w14:paraId="28F8F56D" w14:textId="77777777" w:rsidTr="00481DA5">
      <w:trPr>
        <w:trHeight w:val="77"/>
      </w:trPr>
      <w:tc>
        <w:tcPr>
          <w:tcW w:w="2995" w:type="dxa"/>
        </w:tcPr>
        <w:p w14:paraId="2C947513" w14:textId="77777777" w:rsidR="00800AF2" w:rsidRPr="00633F6B" w:rsidRDefault="00800AF2" w:rsidP="000D492D">
          <w:pPr>
            <w:pStyle w:val="Footer"/>
            <w:rPr>
              <w:rFonts w:cs="Arial"/>
              <w:color w:val="595959" w:themeColor="text1" w:themeTint="A6"/>
              <w:sz w:val="16"/>
              <w:szCs w:val="16"/>
            </w:rPr>
          </w:pPr>
        </w:p>
      </w:tc>
      <w:tc>
        <w:tcPr>
          <w:tcW w:w="3034" w:type="dxa"/>
          <w:vMerge w:val="restart"/>
          <w:vAlign w:val="center"/>
        </w:tcPr>
        <w:p w14:paraId="565C2727" w14:textId="77777777" w:rsidR="00800AF2" w:rsidRPr="00633F6B" w:rsidRDefault="00B13710" w:rsidP="00B13710">
          <w:pPr>
            <w:pStyle w:val="Footer"/>
            <w:jc w:val="center"/>
            <w:rPr>
              <w:rFonts w:cs="Arial"/>
              <w:color w:val="595959" w:themeColor="text1" w:themeTint="A6"/>
              <w:sz w:val="16"/>
              <w:szCs w:val="16"/>
            </w:rPr>
          </w:pPr>
          <w:r>
            <w:rPr>
              <w:noProof/>
            </w:rPr>
            <w:drawing>
              <wp:inline distT="0" distB="0" distL="0" distR="0" wp14:anchorId="7B478782" wp14:editId="022673ED">
                <wp:extent cx="1170579" cy="680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7" w:type="dxa"/>
        </w:tcPr>
        <w:p w14:paraId="2856E76C" w14:textId="77777777" w:rsidR="00800AF2" w:rsidRPr="00633F6B" w:rsidRDefault="00800AF2" w:rsidP="00633F6B">
          <w:pPr>
            <w:pStyle w:val="Footer"/>
            <w:jc w:val="right"/>
            <w:rPr>
              <w:rFonts w:cs="Arial"/>
              <w:color w:val="595959" w:themeColor="text1" w:themeTint="A6"/>
              <w:sz w:val="16"/>
              <w:szCs w:val="16"/>
            </w:rPr>
          </w:pPr>
        </w:p>
      </w:tc>
    </w:tr>
    <w:tr w:rsidR="00800AF2" w:rsidRPr="00633F6B" w14:paraId="0F18E0D4" w14:textId="77777777" w:rsidTr="00800AF2">
      <w:trPr>
        <w:trHeight w:val="540"/>
      </w:trPr>
      <w:tc>
        <w:tcPr>
          <w:tcW w:w="2995" w:type="dxa"/>
        </w:tcPr>
        <w:p w14:paraId="71EC0C3E" w14:textId="371BBF7C" w:rsidR="00800AF2" w:rsidRDefault="00800AF2" w:rsidP="000D492D">
          <w:pPr>
            <w:pStyle w:val="Footer"/>
            <w:rPr>
              <w:rFonts w:cs="Arial"/>
              <w:color w:val="595959" w:themeColor="text1" w:themeTint="A6"/>
              <w:sz w:val="16"/>
              <w:szCs w:val="16"/>
            </w:rPr>
          </w:pPr>
          <w:r>
            <w:rPr>
              <w:rFonts w:cs="Arial"/>
              <w:color w:val="595959" w:themeColor="text1" w:themeTint="A6"/>
              <w:sz w:val="16"/>
              <w:szCs w:val="16"/>
            </w:rPr>
            <w:t>MP</w:t>
          </w:r>
          <w:r w:rsidR="00FD6A99">
            <w:rPr>
              <w:rFonts w:cs="Arial"/>
              <w:color w:val="595959" w:themeColor="text1" w:themeTint="A6"/>
              <w:sz w:val="16"/>
              <w:szCs w:val="16"/>
            </w:rPr>
            <w:t>1</w:t>
          </w:r>
          <w:r w:rsidR="00E6727F">
            <w:rPr>
              <w:rFonts w:cs="Arial"/>
              <w:color w:val="595959" w:themeColor="text1" w:themeTint="A6"/>
              <w:sz w:val="16"/>
              <w:szCs w:val="16"/>
            </w:rPr>
            <w:t>16</w:t>
          </w:r>
          <w:r>
            <w:rPr>
              <w:rFonts w:cs="Arial"/>
              <w:color w:val="595959" w:themeColor="text1" w:themeTint="A6"/>
              <w:sz w:val="16"/>
              <w:szCs w:val="16"/>
            </w:rPr>
            <w:t xml:space="preserve"> </w:t>
          </w:r>
          <w:r w:rsidR="00B13710">
            <w:rPr>
              <w:rFonts w:cs="Arial"/>
              <w:color w:val="595959" w:themeColor="text1" w:themeTint="A6"/>
              <w:sz w:val="16"/>
              <w:szCs w:val="16"/>
            </w:rPr>
            <w:t xml:space="preserve">– </w:t>
          </w:r>
          <w:r w:rsidR="003B12CA">
            <w:rPr>
              <w:rFonts w:cs="Arial"/>
              <w:color w:val="595959" w:themeColor="text1" w:themeTint="A6"/>
              <w:sz w:val="16"/>
              <w:szCs w:val="16"/>
            </w:rPr>
            <w:t>March 2021</w:t>
          </w:r>
          <w:r w:rsidR="00F8182D">
            <w:rPr>
              <w:rFonts w:cs="Arial"/>
              <w:color w:val="595959" w:themeColor="text1" w:themeTint="A6"/>
              <w:sz w:val="16"/>
              <w:szCs w:val="16"/>
            </w:rPr>
            <w:t xml:space="preserve"> </w:t>
          </w:r>
          <w:r>
            <w:rPr>
              <w:rFonts w:cs="Arial"/>
              <w:color w:val="595959" w:themeColor="text1" w:themeTint="A6"/>
              <w:sz w:val="16"/>
              <w:szCs w:val="16"/>
            </w:rPr>
            <w:t xml:space="preserve">Working Group </w:t>
          </w:r>
          <w:r w:rsidR="00B13710">
            <w:rPr>
              <w:rFonts w:cs="Arial"/>
              <w:color w:val="595959" w:themeColor="text1" w:themeTint="A6"/>
              <w:sz w:val="16"/>
              <w:szCs w:val="16"/>
            </w:rPr>
            <w:t>m</w:t>
          </w:r>
          <w:r>
            <w:rPr>
              <w:rFonts w:cs="Arial"/>
              <w:color w:val="595959" w:themeColor="text1" w:themeTint="A6"/>
              <w:sz w:val="16"/>
              <w:szCs w:val="16"/>
            </w:rPr>
            <w:t xml:space="preserve">eeting </w:t>
          </w:r>
          <w:r w:rsidR="00B13710">
            <w:rPr>
              <w:rFonts w:cs="Arial"/>
              <w:color w:val="595959" w:themeColor="text1" w:themeTint="A6"/>
              <w:sz w:val="16"/>
              <w:szCs w:val="16"/>
            </w:rPr>
            <w:t>s</w:t>
          </w:r>
          <w:r>
            <w:rPr>
              <w:rFonts w:cs="Arial"/>
              <w:color w:val="595959" w:themeColor="text1" w:themeTint="A6"/>
              <w:sz w:val="16"/>
              <w:szCs w:val="16"/>
            </w:rPr>
            <w:t>ummary</w:t>
          </w:r>
        </w:p>
      </w:tc>
      <w:tc>
        <w:tcPr>
          <w:tcW w:w="3034" w:type="dxa"/>
          <w:vMerge/>
        </w:tcPr>
        <w:p w14:paraId="079EA8D4" w14:textId="77777777" w:rsidR="00800AF2" w:rsidRDefault="00800AF2" w:rsidP="00633F6B">
          <w:pPr>
            <w:pStyle w:val="Footer"/>
            <w:jc w:val="center"/>
            <w:rPr>
              <w:noProof/>
              <w:lang w:eastAsia="en-GB"/>
            </w:rPr>
          </w:pPr>
        </w:p>
      </w:tc>
      <w:tc>
        <w:tcPr>
          <w:tcW w:w="2997" w:type="dxa"/>
        </w:tcPr>
        <w:p w14:paraId="6CBF7BB2" w14:textId="77777777" w:rsidR="00800AF2" w:rsidRDefault="00800AF2" w:rsidP="00800AF2">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p>
        <w:p w14:paraId="08F93BBA" w14:textId="77777777" w:rsidR="00800AF2" w:rsidRDefault="00800AF2" w:rsidP="00800AF2">
          <w:pPr>
            <w:pStyle w:val="Footer"/>
            <w:jc w:val="right"/>
            <w:rPr>
              <w:rFonts w:cs="Arial"/>
              <w:color w:val="595959" w:themeColor="text1" w:themeTint="A6"/>
              <w:sz w:val="16"/>
              <w:szCs w:val="16"/>
            </w:rPr>
          </w:pPr>
        </w:p>
        <w:p w14:paraId="5C74FCF3" w14:textId="77777777" w:rsidR="00800AF2" w:rsidRPr="00633F6B" w:rsidRDefault="00800AF2" w:rsidP="00800AF2">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3423F3">
            <w:rPr>
              <w:rFonts w:cs="Arial"/>
              <w:b/>
              <w:color w:val="auto"/>
              <w:sz w:val="16"/>
              <w:szCs w:val="16"/>
            </w:rPr>
            <w:t>White</w:t>
          </w:r>
        </w:p>
      </w:tc>
    </w:tr>
  </w:tbl>
  <w:p w14:paraId="4875E3BB" w14:textId="77777777" w:rsidR="00DB0807" w:rsidRPr="00633F6B" w:rsidRDefault="00DB0807"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66AAF" w14:textId="77777777" w:rsidR="00255929" w:rsidRDefault="00255929" w:rsidP="004F458B">
      <w:pPr>
        <w:spacing w:after="0" w:line="240" w:lineRule="auto"/>
      </w:pPr>
      <w:r>
        <w:separator/>
      </w:r>
    </w:p>
  </w:footnote>
  <w:footnote w:type="continuationSeparator" w:id="0">
    <w:p w14:paraId="3501188B" w14:textId="77777777" w:rsidR="00255929" w:rsidRDefault="00255929"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39519" w14:textId="77777777" w:rsidR="003E558E" w:rsidRDefault="003E558E" w:rsidP="003E558E">
    <w:pPr>
      <w:pStyle w:val="Header"/>
      <w:jc w:val="right"/>
    </w:pPr>
    <w:r w:rsidRPr="003E558E">
      <w:rPr>
        <w:noProof/>
        <w:lang w:eastAsia="en-GB"/>
      </w:rPr>
      <w:drawing>
        <wp:inline distT="0" distB="0" distL="0" distR="0" wp14:anchorId="182DE48E" wp14:editId="33A5D0C9">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D61751B"/>
    <w:multiLevelType w:val="hybridMultilevel"/>
    <w:tmpl w:val="D676EAF2"/>
    <w:lvl w:ilvl="0" w:tplc="101C79B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20731"/>
    <w:multiLevelType w:val="hybridMultilevel"/>
    <w:tmpl w:val="E6EEF080"/>
    <w:lvl w:ilvl="0" w:tplc="16BA518A">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835BD"/>
    <w:multiLevelType w:val="hybridMultilevel"/>
    <w:tmpl w:val="B3DC7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2"/>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29"/>
    <w:rsid w:val="000055AC"/>
    <w:rsid w:val="000126A7"/>
    <w:rsid w:val="00017658"/>
    <w:rsid w:val="00020BA4"/>
    <w:rsid w:val="000258B3"/>
    <w:rsid w:val="00055297"/>
    <w:rsid w:val="00057CF0"/>
    <w:rsid w:val="000622C0"/>
    <w:rsid w:val="00067AFA"/>
    <w:rsid w:val="00075828"/>
    <w:rsid w:val="00091612"/>
    <w:rsid w:val="000B05C0"/>
    <w:rsid w:val="000B30A4"/>
    <w:rsid w:val="000B4FAB"/>
    <w:rsid w:val="000C423C"/>
    <w:rsid w:val="000C49C1"/>
    <w:rsid w:val="000C5748"/>
    <w:rsid w:val="000D0828"/>
    <w:rsid w:val="000D492D"/>
    <w:rsid w:val="000D7BCC"/>
    <w:rsid w:val="000E1170"/>
    <w:rsid w:val="000E330B"/>
    <w:rsid w:val="000E661D"/>
    <w:rsid w:val="000E6A3C"/>
    <w:rsid w:val="000E6DD9"/>
    <w:rsid w:val="000F01A9"/>
    <w:rsid w:val="000F16D0"/>
    <w:rsid w:val="000F3436"/>
    <w:rsid w:val="000F4376"/>
    <w:rsid w:val="000F75DB"/>
    <w:rsid w:val="00102237"/>
    <w:rsid w:val="0010448B"/>
    <w:rsid w:val="00152E20"/>
    <w:rsid w:val="0015743D"/>
    <w:rsid w:val="001636D8"/>
    <w:rsid w:val="001855DA"/>
    <w:rsid w:val="00192FAC"/>
    <w:rsid w:val="00193AA5"/>
    <w:rsid w:val="00196A93"/>
    <w:rsid w:val="001C32E8"/>
    <w:rsid w:val="001C63F9"/>
    <w:rsid w:val="001E3A8A"/>
    <w:rsid w:val="001E4249"/>
    <w:rsid w:val="001E5C72"/>
    <w:rsid w:val="00221A27"/>
    <w:rsid w:val="002357F7"/>
    <w:rsid w:val="0024177C"/>
    <w:rsid w:val="00251BB8"/>
    <w:rsid w:val="00251E29"/>
    <w:rsid w:val="00255929"/>
    <w:rsid w:val="002636BA"/>
    <w:rsid w:val="0026436B"/>
    <w:rsid w:val="00267F7B"/>
    <w:rsid w:val="00283D8C"/>
    <w:rsid w:val="002925A9"/>
    <w:rsid w:val="002A0870"/>
    <w:rsid w:val="002A46ED"/>
    <w:rsid w:val="002A76CA"/>
    <w:rsid w:val="002C12CA"/>
    <w:rsid w:val="002E0EC9"/>
    <w:rsid w:val="002E13CE"/>
    <w:rsid w:val="002F1749"/>
    <w:rsid w:val="002F2338"/>
    <w:rsid w:val="002F39BD"/>
    <w:rsid w:val="003025E2"/>
    <w:rsid w:val="003029F3"/>
    <w:rsid w:val="00306C4B"/>
    <w:rsid w:val="003103AF"/>
    <w:rsid w:val="00326FB7"/>
    <w:rsid w:val="00331B41"/>
    <w:rsid w:val="00332631"/>
    <w:rsid w:val="003423F3"/>
    <w:rsid w:val="003425F2"/>
    <w:rsid w:val="00346E2F"/>
    <w:rsid w:val="00347F6A"/>
    <w:rsid w:val="00387635"/>
    <w:rsid w:val="00391A04"/>
    <w:rsid w:val="00391B14"/>
    <w:rsid w:val="003935E6"/>
    <w:rsid w:val="00397755"/>
    <w:rsid w:val="003A556D"/>
    <w:rsid w:val="003B12CA"/>
    <w:rsid w:val="003B3657"/>
    <w:rsid w:val="003C08F7"/>
    <w:rsid w:val="003C1DF0"/>
    <w:rsid w:val="003D2EA8"/>
    <w:rsid w:val="003D4888"/>
    <w:rsid w:val="003D4B63"/>
    <w:rsid w:val="003E4684"/>
    <w:rsid w:val="003E558E"/>
    <w:rsid w:val="00404C8C"/>
    <w:rsid w:val="00405167"/>
    <w:rsid w:val="004119F1"/>
    <w:rsid w:val="004170C6"/>
    <w:rsid w:val="00420A00"/>
    <w:rsid w:val="00422CAF"/>
    <w:rsid w:val="00423EC3"/>
    <w:rsid w:val="0043667E"/>
    <w:rsid w:val="00441728"/>
    <w:rsid w:val="00441D82"/>
    <w:rsid w:val="00463094"/>
    <w:rsid w:val="00471CC6"/>
    <w:rsid w:val="00481DA5"/>
    <w:rsid w:val="00485DC4"/>
    <w:rsid w:val="0048680F"/>
    <w:rsid w:val="00490947"/>
    <w:rsid w:val="004D00F1"/>
    <w:rsid w:val="004D380A"/>
    <w:rsid w:val="004E1DB7"/>
    <w:rsid w:val="004F458B"/>
    <w:rsid w:val="00505898"/>
    <w:rsid w:val="00507273"/>
    <w:rsid w:val="00516EC5"/>
    <w:rsid w:val="0052765B"/>
    <w:rsid w:val="00530099"/>
    <w:rsid w:val="005334EF"/>
    <w:rsid w:val="00551CC4"/>
    <w:rsid w:val="00552455"/>
    <w:rsid w:val="005613A7"/>
    <w:rsid w:val="00564EBA"/>
    <w:rsid w:val="00571E51"/>
    <w:rsid w:val="005776F4"/>
    <w:rsid w:val="005778E5"/>
    <w:rsid w:val="00582377"/>
    <w:rsid w:val="00583EC5"/>
    <w:rsid w:val="00585F21"/>
    <w:rsid w:val="0059197A"/>
    <w:rsid w:val="00592625"/>
    <w:rsid w:val="00594818"/>
    <w:rsid w:val="005C0EDF"/>
    <w:rsid w:val="005C5499"/>
    <w:rsid w:val="005E0302"/>
    <w:rsid w:val="005F65BB"/>
    <w:rsid w:val="0060781C"/>
    <w:rsid w:val="00620DCD"/>
    <w:rsid w:val="006240A4"/>
    <w:rsid w:val="006256DB"/>
    <w:rsid w:val="00633F6B"/>
    <w:rsid w:val="0064797F"/>
    <w:rsid w:val="006546FD"/>
    <w:rsid w:val="0065625F"/>
    <w:rsid w:val="00661BA9"/>
    <w:rsid w:val="0068082B"/>
    <w:rsid w:val="00682B00"/>
    <w:rsid w:val="0069226B"/>
    <w:rsid w:val="006B0D39"/>
    <w:rsid w:val="006B1076"/>
    <w:rsid w:val="006B1B0C"/>
    <w:rsid w:val="006C637C"/>
    <w:rsid w:val="006C64EA"/>
    <w:rsid w:val="006D1654"/>
    <w:rsid w:val="006D2593"/>
    <w:rsid w:val="006D37C5"/>
    <w:rsid w:val="006D3E3A"/>
    <w:rsid w:val="006E5908"/>
    <w:rsid w:val="00712849"/>
    <w:rsid w:val="00730BA3"/>
    <w:rsid w:val="00744B12"/>
    <w:rsid w:val="00745CA5"/>
    <w:rsid w:val="00747040"/>
    <w:rsid w:val="00761B8A"/>
    <w:rsid w:val="00783DBF"/>
    <w:rsid w:val="00793FD4"/>
    <w:rsid w:val="007943C4"/>
    <w:rsid w:val="007A26CE"/>
    <w:rsid w:val="007A4826"/>
    <w:rsid w:val="007A5CA3"/>
    <w:rsid w:val="007B44E5"/>
    <w:rsid w:val="007B4ADF"/>
    <w:rsid w:val="007B5EE6"/>
    <w:rsid w:val="007B6A3F"/>
    <w:rsid w:val="007B6BEF"/>
    <w:rsid w:val="007E35FF"/>
    <w:rsid w:val="007E58E4"/>
    <w:rsid w:val="007E6ECB"/>
    <w:rsid w:val="00800AF2"/>
    <w:rsid w:val="00801794"/>
    <w:rsid w:val="00801B5E"/>
    <w:rsid w:val="00810F76"/>
    <w:rsid w:val="00811994"/>
    <w:rsid w:val="00834C04"/>
    <w:rsid w:val="00853361"/>
    <w:rsid w:val="00853C8B"/>
    <w:rsid w:val="00855057"/>
    <w:rsid w:val="0086220C"/>
    <w:rsid w:val="00862303"/>
    <w:rsid w:val="008738E4"/>
    <w:rsid w:val="00881CA8"/>
    <w:rsid w:val="0089731C"/>
    <w:rsid w:val="008A01C2"/>
    <w:rsid w:val="008C0612"/>
    <w:rsid w:val="008C7A8F"/>
    <w:rsid w:val="00901A0A"/>
    <w:rsid w:val="009153F2"/>
    <w:rsid w:val="00917320"/>
    <w:rsid w:val="009301EC"/>
    <w:rsid w:val="00962B86"/>
    <w:rsid w:val="00964CD2"/>
    <w:rsid w:val="00971D14"/>
    <w:rsid w:val="00991C2D"/>
    <w:rsid w:val="009931E7"/>
    <w:rsid w:val="009949FA"/>
    <w:rsid w:val="009A7772"/>
    <w:rsid w:val="009B4841"/>
    <w:rsid w:val="009B4C21"/>
    <w:rsid w:val="009C2393"/>
    <w:rsid w:val="009C5BAE"/>
    <w:rsid w:val="009C6ABA"/>
    <w:rsid w:val="009D04BA"/>
    <w:rsid w:val="009D56D8"/>
    <w:rsid w:val="009E14DA"/>
    <w:rsid w:val="00A001CC"/>
    <w:rsid w:val="00A07DC7"/>
    <w:rsid w:val="00A1169C"/>
    <w:rsid w:val="00A16AF3"/>
    <w:rsid w:val="00A42421"/>
    <w:rsid w:val="00A441DE"/>
    <w:rsid w:val="00A50332"/>
    <w:rsid w:val="00A5165B"/>
    <w:rsid w:val="00A54644"/>
    <w:rsid w:val="00A72808"/>
    <w:rsid w:val="00A75FD0"/>
    <w:rsid w:val="00A81107"/>
    <w:rsid w:val="00A858CC"/>
    <w:rsid w:val="00A85BC8"/>
    <w:rsid w:val="00A90A90"/>
    <w:rsid w:val="00A94F15"/>
    <w:rsid w:val="00A95933"/>
    <w:rsid w:val="00AA11BF"/>
    <w:rsid w:val="00AA6424"/>
    <w:rsid w:val="00AC1347"/>
    <w:rsid w:val="00AC241A"/>
    <w:rsid w:val="00AD0B74"/>
    <w:rsid w:val="00AD70B0"/>
    <w:rsid w:val="00AF1834"/>
    <w:rsid w:val="00AF7F93"/>
    <w:rsid w:val="00B02B31"/>
    <w:rsid w:val="00B1202F"/>
    <w:rsid w:val="00B13710"/>
    <w:rsid w:val="00B13A0A"/>
    <w:rsid w:val="00B15328"/>
    <w:rsid w:val="00B17F4C"/>
    <w:rsid w:val="00B242DE"/>
    <w:rsid w:val="00B40A97"/>
    <w:rsid w:val="00B411F9"/>
    <w:rsid w:val="00B5592D"/>
    <w:rsid w:val="00B80B19"/>
    <w:rsid w:val="00B943CC"/>
    <w:rsid w:val="00BA2646"/>
    <w:rsid w:val="00BA3AD6"/>
    <w:rsid w:val="00BA7A76"/>
    <w:rsid w:val="00BB1D73"/>
    <w:rsid w:val="00BC2A21"/>
    <w:rsid w:val="00BD1C03"/>
    <w:rsid w:val="00BD2ADD"/>
    <w:rsid w:val="00BD70A6"/>
    <w:rsid w:val="00BD742D"/>
    <w:rsid w:val="00BE1829"/>
    <w:rsid w:val="00BE43A3"/>
    <w:rsid w:val="00BF6FEE"/>
    <w:rsid w:val="00C257A7"/>
    <w:rsid w:val="00C3392A"/>
    <w:rsid w:val="00C401C6"/>
    <w:rsid w:val="00C420BA"/>
    <w:rsid w:val="00C43704"/>
    <w:rsid w:val="00C454EA"/>
    <w:rsid w:val="00C46C5F"/>
    <w:rsid w:val="00C50BB9"/>
    <w:rsid w:val="00C92D9F"/>
    <w:rsid w:val="00CA1D8C"/>
    <w:rsid w:val="00CB77C9"/>
    <w:rsid w:val="00CC5FB4"/>
    <w:rsid w:val="00CD7753"/>
    <w:rsid w:val="00CE018A"/>
    <w:rsid w:val="00CF3BEF"/>
    <w:rsid w:val="00CF6AA5"/>
    <w:rsid w:val="00D15D55"/>
    <w:rsid w:val="00D160AF"/>
    <w:rsid w:val="00D27E31"/>
    <w:rsid w:val="00D31291"/>
    <w:rsid w:val="00D356AD"/>
    <w:rsid w:val="00D40179"/>
    <w:rsid w:val="00D423AF"/>
    <w:rsid w:val="00D47D4E"/>
    <w:rsid w:val="00D506A9"/>
    <w:rsid w:val="00D63701"/>
    <w:rsid w:val="00D65365"/>
    <w:rsid w:val="00D70ECB"/>
    <w:rsid w:val="00D826AC"/>
    <w:rsid w:val="00D9647C"/>
    <w:rsid w:val="00DA1B1A"/>
    <w:rsid w:val="00DB079D"/>
    <w:rsid w:val="00DB0807"/>
    <w:rsid w:val="00DB500E"/>
    <w:rsid w:val="00DC1474"/>
    <w:rsid w:val="00DC4326"/>
    <w:rsid w:val="00DD1A40"/>
    <w:rsid w:val="00DD7189"/>
    <w:rsid w:val="00DE1CF2"/>
    <w:rsid w:val="00DE5C32"/>
    <w:rsid w:val="00DF7D1A"/>
    <w:rsid w:val="00E10640"/>
    <w:rsid w:val="00E1288E"/>
    <w:rsid w:val="00E152A7"/>
    <w:rsid w:val="00E1536A"/>
    <w:rsid w:val="00E24571"/>
    <w:rsid w:val="00E3126E"/>
    <w:rsid w:val="00E31D79"/>
    <w:rsid w:val="00E35AA8"/>
    <w:rsid w:val="00E42FFB"/>
    <w:rsid w:val="00E4508B"/>
    <w:rsid w:val="00E454BA"/>
    <w:rsid w:val="00E47F32"/>
    <w:rsid w:val="00E50945"/>
    <w:rsid w:val="00E5727E"/>
    <w:rsid w:val="00E62969"/>
    <w:rsid w:val="00E6727F"/>
    <w:rsid w:val="00E84A70"/>
    <w:rsid w:val="00E84C1D"/>
    <w:rsid w:val="00E91C2A"/>
    <w:rsid w:val="00E9733A"/>
    <w:rsid w:val="00EA6D48"/>
    <w:rsid w:val="00EB17D8"/>
    <w:rsid w:val="00EB767D"/>
    <w:rsid w:val="00EC5C31"/>
    <w:rsid w:val="00ED0E2E"/>
    <w:rsid w:val="00ED15FD"/>
    <w:rsid w:val="00ED64C8"/>
    <w:rsid w:val="00EE33BF"/>
    <w:rsid w:val="00F0008C"/>
    <w:rsid w:val="00F3046D"/>
    <w:rsid w:val="00F43C74"/>
    <w:rsid w:val="00F47D15"/>
    <w:rsid w:val="00F57FE2"/>
    <w:rsid w:val="00F635A3"/>
    <w:rsid w:val="00F76EC5"/>
    <w:rsid w:val="00F8182D"/>
    <w:rsid w:val="00F85CE1"/>
    <w:rsid w:val="00FB0240"/>
    <w:rsid w:val="00FC067E"/>
    <w:rsid w:val="00FC5CC6"/>
    <w:rsid w:val="00FD1ACC"/>
    <w:rsid w:val="00FD5A59"/>
    <w:rsid w:val="00FD6A99"/>
    <w:rsid w:val="00FE19A5"/>
    <w:rsid w:val="00FF0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61745116"/>
  <w15:docId w15:val="{0D1332B5-571F-43E5-94C3-43F081D2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B13710"/>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0D0828"/>
    <w:pPr>
      <w:keepNext/>
      <w:keepLines/>
      <w:numPr>
        <w:numId w:val="2"/>
      </w:numPr>
      <w:spacing w:before="120"/>
      <w:ind w:left="357" w:hanging="357"/>
      <w:outlineLvl w:val="1"/>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0D0828"/>
    <w:rPr>
      <w:rFonts w:ascii="Arial" w:eastAsiaTheme="majorEastAsia" w:hAnsi="Arial" w:cstheme="majorBidi"/>
      <w:b/>
      <w:bCs/>
      <w:color w:val="404040" w:themeColor="text1" w:themeTint="BF"/>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Heading"/>
    <w:basedOn w:val="Normal"/>
    <w:next w:val="Normal"/>
    <w:link w:val="SubtitleChar"/>
    <w:autoRedefine/>
    <w:uiPriority w:val="11"/>
    <w:qFormat/>
    <w:rsid w:val="00387635"/>
    <w:pPr>
      <w:keepNext/>
      <w:spacing w:before="480"/>
    </w:pPr>
    <w:rPr>
      <w:rFonts w:eastAsiaTheme="majorEastAsia" w:cstheme="majorBidi"/>
      <w:b/>
      <w:iCs/>
      <w:spacing w:val="15"/>
      <w:sz w:val="24"/>
      <w:szCs w:val="24"/>
    </w:rPr>
  </w:style>
  <w:style w:type="character" w:customStyle="1" w:styleId="SubtitleChar">
    <w:name w:val="Subtitle Char"/>
    <w:aliases w:val="Heading Char"/>
    <w:basedOn w:val="DefaultParagraphFont"/>
    <w:link w:val="Subtitle"/>
    <w:uiPriority w:val="11"/>
    <w:rsid w:val="00387635"/>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Dot pt,No Spacing1,List Paragraph Char Char Char,Indicator Text,Numbered Para 1,List Paragraph1,Bullet 1,Bullet Points,MAIN CONTENT,List Paragraph12,List Para,Bullet text"/>
    <w:basedOn w:val="Normal"/>
    <w:link w:val="ListParagraphChar"/>
    <w:qFormat/>
    <w:rsid w:val="00EE33BF"/>
    <w:pPr>
      <w:numPr>
        <w:numId w:val="3"/>
      </w:numPr>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4"/>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heading">
    <w:name w:val="Subheading"/>
    <w:basedOn w:val="Subtitle"/>
    <w:next w:val="Normal"/>
    <w:qFormat/>
    <w:rsid w:val="00F57FE2"/>
    <w:pPr>
      <w:numPr>
        <w:ilvl w:val="1"/>
      </w:numPr>
      <w:spacing w:before="0"/>
    </w:pPr>
    <w:rPr>
      <w:sz w:val="20"/>
    </w:rPr>
  </w:style>
  <w:style w:type="numbering" w:customStyle="1" w:styleId="Subtitles">
    <w:name w:val="Subtitles"/>
    <w:uiPriority w:val="99"/>
    <w:rsid w:val="00A75FD0"/>
    <w:pPr>
      <w:numPr>
        <w:numId w:val="5"/>
      </w:numPr>
    </w:pPr>
  </w:style>
  <w:style w:type="paragraph" w:customStyle="1" w:styleId="TableHeading">
    <w:name w:val="Table Heading"/>
    <w:basedOn w:val="Normal"/>
    <w:link w:val="TableHeadingChar"/>
    <w:qFormat/>
    <w:rsid w:val="003C08F7"/>
    <w:pPr>
      <w:spacing w:after="0" w:line="240" w:lineRule="auto"/>
      <w:jc w:val="center"/>
    </w:pPr>
    <w:rPr>
      <w:rFonts w:eastAsiaTheme="minorEastAsia" w:cs="Arial"/>
      <w:b/>
      <w:color w:val="FFFFFF" w:themeColor="background1"/>
      <w:sz w:val="22"/>
      <w:lang w:eastAsia="en-GB"/>
    </w:rPr>
  </w:style>
  <w:style w:type="character" w:customStyle="1" w:styleId="TableHeadingChar">
    <w:name w:val="Table Heading Char"/>
    <w:basedOn w:val="DefaultParagraphFont"/>
    <w:link w:val="TableHeading"/>
    <w:rsid w:val="003C08F7"/>
    <w:rPr>
      <w:rFonts w:ascii="Arial" w:eastAsiaTheme="minorEastAsia" w:hAnsi="Arial" w:cs="Arial"/>
      <w:b/>
      <w:color w:val="FFFFFF" w:themeColor="background1"/>
      <w:lang w:eastAsia="en-GB"/>
    </w:r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qFormat/>
    <w:locked/>
    <w:rsid w:val="003C08F7"/>
    <w:rPr>
      <w:rFonts w:ascii="Arial" w:hAnsi="Arial"/>
      <w:color w:val="404040" w:themeColor="text1" w:themeTint="BF"/>
      <w:sz w:val="20"/>
    </w:rPr>
  </w:style>
  <w:style w:type="table" w:customStyle="1" w:styleId="TableGrid1">
    <w:name w:val="Table Grid1"/>
    <w:basedOn w:val="TableNormal"/>
    <w:uiPriority w:val="59"/>
    <w:rsid w:val="003C08F7"/>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710"/>
    <w:rPr>
      <w:color w:val="0563C1"/>
      <w:u w:val="single"/>
    </w:rPr>
  </w:style>
  <w:style w:type="character" w:styleId="CommentReference">
    <w:name w:val="annotation reference"/>
    <w:basedOn w:val="DefaultParagraphFont"/>
    <w:uiPriority w:val="99"/>
    <w:semiHidden/>
    <w:unhideWhenUsed/>
    <w:rsid w:val="00810F76"/>
    <w:rPr>
      <w:sz w:val="16"/>
      <w:szCs w:val="16"/>
    </w:rPr>
  </w:style>
  <w:style w:type="paragraph" w:styleId="CommentText">
    <w:name w:val="annotation text"/>
    <w:basedOn w:val="Normal"/>
    <w:link w:val="CommentTextChar"/>
    <w:uiPriority w:val="99"/>
    <w:semiHidden/>
    <w:unhideWhenUsed/>
    <w:rsid w:val="00810F76"/>
    <w:pPr>
      <w:spacing w:line="240" w:lineRule="auto"/>
    </w:pPr>
    <w:rPr>
      <w:szCs w:val="20"/>
    </w:rPr>
  </w:style>
  <w:style w:type="character" w:customStyle="1" w:styleId="CommentTextChar">
    <w:name w:val="Comment Text Char"/>
    <w:basedOn w:val="DefaultParagraphFont"/>
    <w:link w:val="CommentText"/>
    <w:uiPriority w:val="99"/>
    <w:semiHidden/>
    <w:rsid w:val="00810F76"/>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810F76"/>
    <w:rPr>
      <w:b/>
      <w:bCs/>
    </w:rPr>
  </w:style>
  <w:style w:type="character" w:customStyle="1" w:styleId="CommentSubjectChar">
    <w:name w:val="Comment Subject Char"/>
    <w:basedOn w:val="CommentTextChar"/>
    <w:link w:val="CommentSubject"/>
    <w:uiPriority w:val="99"/>
    <w:semiHidden/>
    <w:rsid w:val="00810F76"/>
    <w:rPr>
      <w:rFonts w:ascii="Arial" w:hAnsi="Arial"/>
      <w:b/>
      <w:bCs/>
      <w:color w:val="404040" w:themeColor="text1" w:themeTint="BF"/>
      <w:sz w:val="20"/>
      <w:szCs w:val="20"/>
    </w:rPr>
  </w:style>
  <w:style w:type="paragraph" w:styleId="Revision">
    <w:name w:val="Revision"/>
    <w:hidden/>
    <w:uiPriority w:val="99"/>
    <w:semiHidden/>
    <w:rsid w:val="00AF1834"/>
    <w:pPr>
      <w:spacing w:after="0" w:line="240" w:lineRule="auto"/>
    </w:pPr>
    <w:rPr>
      <w:rFonts w:ascii="Arial" w:hAnsi="Arial"/>
      <w:color w:val="404040" w:themeColor="text1" w:themeTint="BF"/>
      <w:sz w:val="20"/>
    </w:rPr>
  </w:style>
  <w:style w:type="character" w:styleId="UnresolvedMention">
    <w:name w:val="Unresolved Mention"/>
    <w:basedOn w:val="DefaultParagraphFont"/>
    <w:uiPriority w:val="99"/>
    <w:semiHidden/>
    <w:unhideWhenUsed/>
    <w:rsid w:val="003025E2"/>
    <w:rPr>
      <w:color w:val="605E5C"/>
      <w:shd w:val="clear" w:color="auto" w:fill="E1DFDD"/>
    </w:rPr>
  </w:style>
  <w:style w:type="table" w:customStyle="1" w:styleId="TableGrid11">
    <w:name w:val="Table Grid11"/>
    <w:basedOn w:val="TableNormal"/>
    <w:uiPriority w:val="59"/>
    <w:rsid w:val="00E152A7"/>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semiHidden/>
    <w:unhideWhenUsed/>
    <w:rsid w:val="00E152A7"/>
    <w:pPr>
      <w:spacing w:line="240" w:lineRule="auto"/>
    </w:pPr>
    <w:rPr>
      <w:color w:val="4040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2013">
      <w:bodyDiv w:val="1"/>
      <w:marLeft w:val="0"/>
      <w:marRight w:val="0"/>
      <w:marTop w:val="0"/>
      <w:marBottom w:val="0"/>
      <w:divBdr>
        <w:top w:val="none" w:sz="0" w:space="0" w:color="auto"/>
        <w:left w:val="none" w:sz="0" w:space="0" w:color="auto"/>
        <w:bottom w:val="none" w:sz="0" w:space="0" w:color="auto"/>
        <w:right w:val="none" w:sz="0" w:space="0" w:color="auto"/>
      </w:divBdr>
    </w:div>
    <w:div w:id="252518843">
      <w:bodyDiv w:val="1"/>
      <w:marLeft w:val="0"/>
      <w:marRight w:val="0"/>
      <w:marTop w:val="0"/>
      <w:marBottom w:val="0"/>
      <w:divBdr>
        <w:top w:val="none" w:sz="0" w:space="0" w:color="auto"/>
        <w:left w:val="none" w:sz="0" w:space="0" w:color="auto"/>
        <w:bottom w:val="none" w:sz="0" w:space="0" w:color="auto"/>
        <w:right w:val="none" w:sz="0" w:space="0" w:color="auto"/>
      </w:divBdr>
      <w:divsChild>
        <w:div w:id="1179855502">
          <w:marLeft w:val="360"/>
          <w:marRight w:val="0"/>
          <w:marTop w:val="200"/>
          <w:marBottom w:val="0"/>
          <w:divBdr>
            <w:top w:val="none" w:sz="0" w:space="0" w:color="auto"/>
            <w:left w:val="none" w:sz="0" w:space="0" w:color="auto"/>
            <w:bottom w:val="none" w:sz="0" w:space="0" w:color="auto"/>
            <w:right w:val="none" w:sz="0" w:space="0" w:color="auto"/>
          </w:divBdr>
        </w:div>
      </w:divsChild>
    </w:div>
    <w:div w:id="441612215">
      <w:bodyDiv w:val="1"/>
      <w:marLeft w:val="0"/>
      <w:marRight w:val="0"/>
      <w:marTop w:val="0"/>
      <w:marBottom w:val="0"/>
      <w:divBdr>
        <w:top w:val="none" w:sz="0" w:space="0" w:color="auto"/>
        <w:left w:val="none" w:sz="0" w:space="0" w:color="auto"/>
        <w:bottom w:val="none" w:sz="0" w:space="0" w:color="auto"/>
        <w:right w:val="none" w:sz="0" w:space="0" w:color="auto"/>
      </w:divBdr>
      <w:divsChild>
        <w:div w:id="1756315620">
          <w:marLeft w:val="360"/>
          <w:marRight w:val="0"/>
          <w:marTop w:val="200"/>
          <w:marBottom w:val="0"/>
          <w:divBdr>
            <w:top w:val="none" w:sz="0" w:space="0" w:color="auto"/>
            <w:left w:val="none" w:sz="0" w:space="0" w:color="auto"/>
            <w:bottom w:val="none" w:sz="0" w:space="0" w:color="auto"/>
            <w:right w:val="none" w:sz="0" w:space="0" w:color="auto"/>
          </w:divBdr>
        </w:div>
      </w:divsChild>
    </w:div>
    <w:div w:id="1094476975">
      <w:bodyDiv w:val="1"/>
      <w:marLeft w:val="0"/>
      <w:marRight w:val="0"/>
      <w:marTop w:val="0"/>
      <w:marBottom w:val="0"/>
      <w:divBdr>
        <w:top w:val="none" w:sz="0" w:space="0" w:color="auto"/>
        <w:left w:val="none" w:sz="0" w:space="0" w:color="auto"/>
        <w:bottom w:val="none" w:sz="0" w:space="0" w:color="auto"/>
        <w:right w:val="none" w:sz="0" w:space="0" w:color="auto"/>
      </w:divBdr>
      <w:divsChild>
        <w:div w:id="661278397">
          <w:marLeft w:val="547"/>
          <w:marRight w:val="0"/>
          <w:marTop w:val="0"/>
          <w:marBottom w:val="0"/>
          <w:divBdr>
            <w:top w:val="none" w:sz="0" w:space="0" w:color="auto"/>
            <w:left w:val="none" w:sz="0" w:space="0" w:color="auto"/>
            <w:bottom w:val="none" w:sz="0" w:space="0" w:color="auto"/>
            <w:right w:val="none" w:sz="0" w:space="0" w:color="auto"/>
          </w:divBdr>
        </w:div>
      </w:divsChild>
    </w:div>
    <w:div w:id="1114247011">
      <w:bodyDiv w:val="1"/>
      <w:marLeft w:val="0"/>
      <w:marRight w:val="0"/>
      <w:marTop w:val="0"/>
      <w:marBottom w:val="0"/>
      <w:divBdr>
        <w:top w:val="none" w:sz="0" w:space="0" w:color="auto"/>
        <w:left w:val="none" w:sz="0" w:space="0" w:color="auto"/>
        <w:bottom w:val="none" w:sz="0" w:space="0" w:color="auto"/>
        <w:right w:val="none" w:sz="0" w:space="0" w:color="auto"/>
      </w:divBdr>
    </w:div>
    <w:div w:id="1677877166">
      <w:bodyDiv w:val="1"/>
      <w:marLeft w:val="0"/>
      <w:marRight w:val="0"/>
      <w:marTop w:val="0"/>
      <w:marBottom w:val="0"/>
      <w:divBdr>
        <w:top w:val="none" w:sz="0" w:space="0" w:color="auto"/>
        <w:left w:val="none" w:sz="0" w:space="0" w:color="auto"/>
        <w:bottom w:val="none" w:sz="0" w:space="0" w:color="auto"/>
        <w:right w:val="none" w:sz="0" w:space="0" w:color="auto"/>
      </w:divBdr>
      <w:divsChild>
        <w:div w:id="62879678">
          <w:marLeft w:val="360"/>
          <w:marRight w:val="0"/>
          <w:marTop w:val="200"/>
          <w:marBottom w:val="0"/>
          <w:divBdr>
            <w:top w:val="none" w:sz="0" w:space="0" w:color="auto"/>
            <w:left w:val="none" w:sz="0" w:space="0" w:color="auto"/>
            <w:bottom w:val="none" w:sz="0" w:space="0" w:color="auto"/>
            <w:right w:val="none" w:sz="0" w:space="0" w:color="auto"/>
          </w:divBdr>
        </w:div>
      </w:divsChild>
    </w:div>
    <w:div w:id="1689595908">
      <w:bodyDiv w:val="1"/>
      <w:marLeft w:val="0"/>
      <w:marRight w:val="0"/>
      <w:marTop w:val="0"/>
      <w:marBottom w:val="0"/>
      <w:divBdr>
        <w:top w:val="none" w:sz="0" w:space="0" w:color="auto"/>
        <w:left w:val="none" w:sz="0" w:space="0" w:color="auto"/>
        <w:bottom w:val="none" w:sz="0" w:space="0" w:color="auto"/>
        <w:right w:val="none" w:sz="0" w:space="0" w:color="auto"/>
      </w:divBdr>
      <w:divsChild>
        <w:div w:id="152840664">
          <w:marLeft w:val="547"/>
          <w:marRight w:val="0"/>
          <w:marTop w:val="0"/>
          <w:marBottom w:val="0"/>
          <w:divBdr>
            <w:top w:val="none" w:sz="0" w:space="0" w:color="auto"/>
            <w:left w:val="none" w:sz="0" w:space="0" w:color="auto"/>
            <w:bottom w:val="none" w:sz="0" w:space="0" w:color="auto"/>
            <w:right w:val="none" w:sz="0" w:space="0" w:color="auto"/>
          </w:divBdr>
        </w:div>
      </w:divsChild>
    </w:div>
    <w:div w:id="1699159126">
      <w:bodyDiv w:val="1"/>
      <w:marLeft w:val="0"/>
      <w:marRight w:val="0"/>
      <w:marTop w:val="0"/>
      <w:marBottom w:val="0"/>
      <w:divBdr>
        <w:top w:val="none" w:sz="0" w:space="0" w:color="auto"/>
        <w:left w:val="none" w:sz="0" w:space="0" w:color="auto"/>
        <w:bottom w:val="none" w:sz="0" w:space="0" w:color="auto"/>
        <w:right w:val="none" w:sz="0" w:space="0" w:color="auto"/>
      </w:divBdr>
      <w:divsChild>
        <w:div w:id="602349556">
          <w:marLeft w:val="360"/>
          <w:marRight w:val="0"/>
          <w:marTop w:val="200"/>
          <w:marBottom w:val="0"/>
          <w:divBdr>
            <w:top w:val="none" w:sz="0" w:space="0" w:color="auto"/>
            <w:left w:val="none" w:sz="0" w:space="0" w:color="auto"/>
            <w:bottom w:val="none" w:sz="0" w:space="0" w:color="auto"/>
            <w:right w:val="none" w:sz="0" w:space="0" w:color="auto"/>
          </w:divBdr>
        </w:div>
      </w:divsChild>
    </w:div>
    <w:div w:id="19219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artenergycodecompany.co.uk/modifications/service-request-forecas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rasco.co.uk\root\Clients\SECCo\05%20-%20Modifications\Templates\01%20-%20Documents\03%20-%20Refine%20Stage%20documents\05%20-%20Working%20Group\Working%20Group%20Meeting%20Summ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85C8-F546-4FB1-80A5-E949013C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Group Meeting Summary Template.dotx</Template>
  <TotalTime>635</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MP116 - Working Group meeting summary</vt:lpstr>
    </vt:vector>
  </TitlesOfParts>
  <Company>Gemserv</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MP116 - Working Group meeting summary</dc:title>
  <dc:creator>Bradley Baker</dc:creator>
  <cp:lastModifiedBy>Bradley Baker</cp:lastModifiedBy>
  <cp:revision>15</cp:revision>
  <cp:lastPrinted>2020-10-20T09:46:00Z</cp:lastPrinted>
  <dcterms:created xsi:type="dcterms:W3CDTF">2020-12-03T11:30:00Z</dcterms:created>
  <dcterms:modified xsi:type="dcterms:W3CDTF">2021-03-08T16:01:00Z</dcterms:modified>
</cp:coreProperties>
</file>