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FD814" w14:textId="15C89AFF" w:rsidR="003423F3" w:rsidRDefault="003423F3" w:rsidP="003423F3">
      <w:pPr>
        <w:pStyle w:val="SECPaperTitle"/>
        <w:spacing w:before="0" w:after="240"/>
        <w:rPr>
          <w:sz w:val="30"/>
          <w:szCs w:val="30"/>
        </w:rPr>
      </w:pPr>
      <w:r>
        <w:rPr>
          <w:noProof/>
          <w:lang w:eastAsia="en-GB"/>
        </w:rPr>
        <mc:AlternateContent>
          <mc:Choice Requires="wps">
            <w:drawing>
              <wp:anchor distT="45720" distB="45720" distL="114300" distR="114300" simplePos="0" relativeHeight="251661312" behindDoc="0" locked="0" layoutInCell="1" allowOverlap="1" wp14:anchorId="471CF36B" wp14:editId="3CB33433">
                <wp:simplePos x="0" y="0"/>
                <wp:positionH relativeFrom="margin">
                  <wp:align>left</wp:align>
                </wp:positionH>
                <wp:positionV relativeFrom="paragraph">
                  <wp:posOffset>0</wp:posOffset>
                </wp:positionV>
                <wp:extent cx="5770880" cy="466725"/>
                <wp:effectExtent l="0" t="0" r="2032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66725"/>
                        </a:xfrm>
                        <a:prstGeom prst="rect">
                          <a:avLst/>
                        </a:prstGeom>
                        <a:solidFill>
                          <a:srgbClr val="FFFFFF"/>
                        </a:solidFill>
                        <a:ln w="9525">
                          <a:solidFill>
                            <a:srgbClr val="000000"/>
                          </a:solidFill>
                          <a:miter lim="800000"/>
                          <a:headEnd/>
                          <a:tailEnd/>
                        </a:ln>
                      </wps:spPr>
                      <wps:txbx>
                        <w:txbxContent>
                          <w:p w14:paraId="1839FB94" w14:textId="77777777" w:rsidR="003423F3" w:rsidRPr="001606E0" w:rsidRDefault="003423F3" w:rsidP="003423F3">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p w14:paraId="03752441" w14:textId="77777777" w:rsidR="003423F3" w:rsidRPr="003D092C" w:rsidRDefault="003423F3" w:rsidP="003423F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CF36B" id="_x0000_t202" coordsize="21600,21600" o:spt="202" path="m,l,21600r21600,l21600,xe">
                <v:stroke joinstyle="miter"/>
                <v:path gradientshapeok="t" o:connecttype="rect"/>
              </v:shapetype>
              <v:shape id="Text Box 2" o:spid="_x0000_s1026" type="#_x0000_t202" style="position:absolute;left:0;text-align:left;margin-left:0;margin-top:0;width:454.4pt;height:3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">
                <v:textbox>
                  <w:txbxContent>
                    <w:p w14:paraId="1839FB94" w14:textId="77777777" w:rsidR="003423F3" w:rsidRPr="001606E0" w:rsidRDefault="003423F3" w:rsidP="003423F3">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p w14:paraId="03752441" w14:textId="77777777" w:rsidR="003423F3" w:rsidRPr="003D092C" w:rsidRDefault="003423F3" w:rsidP="003423F3">
                      <w:pPr>
                        <w:rPr>
                          <w:sz w:val="24"/>
                        </w:rPr>
                      </w:pPr>
                    </w:p>
                  </w:txbxContent>
                </v:textbox>
                <w10:wrap type="square" anchorx="margin"/>
              </v:shape>
            </w:pict>
          </mc:Fallback>
        </mc:AlternateContent>
      </w:r>
      <w:r w:rsidR="00A1169C">
        <w:rPr>
          <w:noProof/>
          <w:lang w:eastAsia="en-GB"/>
        </w:rPr>
        <w:t>MP1</w:t>
      </w:r>
      <w:r w:rsidR="00E6727F">
        <w:rPr>
          <w:noProof/>
          <w:lang w:eastAsia="en-GB"/>
        </w:rPr>
        <w:t>16</w:t>
      </w:r>
      <w:r>
        <w:rPr>
          <w:sz w:val="30"/>
          <w:szCs w:val="30"/>
        </w:rPr>
        <w:t xml:space="preserve"> ‘</w:t>
      </w:r>
      <w:r w:rsidR="00E6727F">
        <w:rPr>
          <w:sz w:val="30"/>
          <w:szCs w:val="30"/>
        </w:rPr>
        <w:t>Service Request Forecasting</w:t>
      </w:r>
      <w:r w:rsidR="00A1169C">
        <w:rPr>
          <w:sz w:val="30"/>
          <w:szCs w:val="30"/>
        </w:rPr>
        <w:t>’</w:t>
      </w:r>
    </w:p>
    <w:p w14:paraId="4AF16256" w14:textId="408E281B" w:rsidR="00B13710" w:rsidRDefault="00E6727F" w:rsidP="00B13710">
      <w:pPr>
        <w:pStyle w:val="SECPaperTitle"/>
        <w:spacing w:before="0" w:after="240"/>
        <w:rPr>
          <w:sz w:val="30"/>
          <w:szCs w:val="30"/>
        </w:rPr>
      </w:pPr>
      <w:r>
        <w:rPr>
          <w:sz w:val="30"/>
          <w:szCs w:val="30"/>
        </w:rPr>
        <w:t>December</w:t>
      </w:r>
      <w:r w:rsidR="00811994">
        <w:rPr>
          <w:sz w:val="30"/>
          <w:szCs w:val="30"/>
        </w:rPr>
        <w:t xml:space="preserve"> 2020</w:t>
      </w:r>
      <w:r w:rsidR="00B13710">
        <w:rPr>
          <w:sz w:val="30"/>
          <w:szCs w:val="30"/>
        </w:rPr>
        <w:t xml:space="preserve"> </w:t>
      </w:r>
      <w:r w:rsidR="003423F3">
        <w:rPr>
          <w:sz w:val="30"/>
          <w:szCs w:val="30"/>
        </w:rPr>
        <w:t xml:space="preserve">Working Group </w:t>
      </w:r>
      <w:r w:rsidR="000C423C">
        <w:rPr>
          <w:sz w:val="30"/>
          <w:szCs w:val="30"/>
        </w:rPr>
        <w:t xml:space="preserve">– </w:t>
      </w:r>
      <w:r w:rsidR="002A76CA">
        <w:rPr>
          <w:sz w:val="30"/>
          <w:szCs w:val="30"/>
        </w:rPr>
        <w:t>me</w:t>
      </w:r>
      <w:r w:rsidR="003423F3" w:rsidRPr="008E76FA">
        <w:rPr>
          <w:sz w:val="30"/>
          <w:szCs w:val="30"/>
        </w:rPr>
        <w:t>eting</w:t>
      </w:r>
      <w:r w:rsidR="002A76CA">
        <w:rPr>
          <w:sz w:val="30"/>
          <w:szCs w:val="30"/>
        </w:rPr>
        <w:t xml:space="preserve"> summary</w:t>
      </w:r>
    </w:p>
    <w:p w14:paraId="29566CD0" w14:textId="419BABFB" w:rsidR="00564EBA" w:rsidRDefault="00564EBA" w:rsidP="00387635">
      <w:pPr>
        <w:pStyle w:val="Subtitle"/>
      </w:pPr>
      <w:r>
        <w:t>Attendees</w:t>
      </w:r>
    </w:p>
    <w:tbl>
      <w:tblPr>
        <w:tblStyle w:val="TableGrid11"/>
        <w:tblW w:w="2906" w:type="pct"/>
        <w:jc w:val="center"/>
        <w:tblInd w:w="0" w:type="dxa"/>
        <w:tblLook w:val="04A0" w:firstRow="1" w:lastRow="0" w:firstColumn="1" w:lastColumn="0" w:noHBand="0" w:noVBand="1"/>
      </w:tblPr>
      <w:tblGrid>
        <w:gridCol w:w="3005"/>
        <w:gridCol w:w="2235"/>
      </w:tblGrid>
      <w:tr w:rsidR="00E152A7" w:rsidRPr="00EA5CE8" w14:paraId="6887B555" w14:textId="77777777" w:rsidTr="00AB0CFD">
        <w:trPr>
          <w:trHeight w:val="514"/>
          <w:jc w:val="center"/>
        </w:trPr>
        <w:tc>
          <w:tcPr>
            <w:tcW w:w="2867" w:type="pct"/>
            <w:tcBorders>
              <w:top w:val="single" w:sz="4" w:space="0" w:color="auto"/>
              <w:left w:val="single" w:sz="4" w:space="0" w:color="auto"/>
              <w:bottom w:val="single" w:sz="4" w:space="0" w:color="auto"/>
              <w:right w:val="single" w:sz="4" w:space="0" w:color="auto"/>
            </w:tcBorders>
            <w:shd w:val="clear" w:color="auto" w:fill="17A800"/>
            <w:vAlign w:val="center"/>
          </w:tcPr>
          <w:p w14:paraId="0CCC3F64" w14:textId="77777777" w:rsidR="00E152A7" w:rsidRPr="00EA5CE8" w:rsidRDefault="00E152A7" w:rsidP="00AB0CFD">
            <w:pPr>
              <w:jc w:val="center"/>
              <w:rPr>
                <w:rFonts w:cs="Arial"/>
                <w:b/>
                <w:color w:val="FFFFFF"/>
                <w:lang w:eastAsia="en-GB"/>
              </w:rPr>
            </w:pPr>
            <w:r w:rsidRPr="00EA5CE8">
              <w:rPr>
                <w:rFonts w:cs="Arial"/>
                <w:b/>
                <w:color w:val="FFFFFF"/>
                <w:lang w:eastAsia="en-GB"/>
              </w:rPr>
              <w:t>Attendee</w:t>
            </w:r>
          </w:p>
        </w:tc>
        <w:tc>
          <w:tcPr>
            <w:tcW w:w="2133" w:type="pct"/>
            <w:tcBorders>
              <w:top w:val="single" w:sz="4" w:space="0" w:color="auto"/>
              <w:left w:val="single" w:sz="4" w:space="0" w:color="auto"/>
              <w:bottom w:val="single" w:sz="4" w:space="0" w:color="auto"/>
              <w:right w:val="single" w:sz="4" w:space="0" w:color="auto"/>
            </w:tcBorders>
            <w:shd w:val="clear" w:color="auto" w:fill="17A800"/>
            <w:vAlign w:val="center"/>
          </w:tcPr>
          <w:p w14:paraId="12A895CE" w14:textId="77777777" w:rsidR="00E152A7" w:rsidRPr="00EA5CE8" w:rsidRDefault="00E152A7" w:rsidP="00AB0CFD">
            <w:pPr>
              <w:jc w:val="center"/>
              <w:rPr>
                <w:rFonts w:cs="Arial"/>
                <w:b/>
                <w:color w:val="FFFFFF"/>
                <w:lang w:eastAsia="en-GB"/>
              </w:rPr>
            </w:pPr>
            <w:r w:rsidRPr="00EA5CE8">
              <w:rPr>
                <w:rFonts w:cs="Arial"/>
                <w:b/>
                <w:color w:val="FFFFFF"/>
                <w:lang w:eastAsia="en-GB"/>
              </w:rPr>
              <w:t>Organisation</w:t>
            </w:r>
          </w:p>
        </w:tc>
      </w:tr>
      <w:tr w:rsidR="00E152A7" w:rsidRPr="00EA5CE8" w14:paraId="48E6B1A3"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3944723E" w14:textId="77777777" w:rsidR="00E152A7" w:rsidRPr="00EA5CE8" w:rsidRDefault="00E152A7" w:rsidP="00AB0CFD">
            <w:pPr>
              <w:spacing w:before="30" w:after="30" w:line="276" w:lineRule="auto"/>
              <w:rPr>
                <w:rFonts w:eastAsia="Calibri" w:cs="Arial"/>
                <w:color w:val="404040"/>
                <w:szCs w:val="20"/>
                <w:lang w:eastAsia="en-GB"/>
              </w:rPr>
            </w:pPr>
            <w:r w:rsidRPr="00EA5CE8">
              <w:rPr>
                <w:rFonts w:eastAsia="Calibri" w:cs="Arial"/>
                <w:color w:val="404040"/>
                <w:szCs w:val="20"/>
                <w:lang w:eastAsia="en-GB"/>
              </w:rPr>
              <w:t>Ali Beard</w:t>
            </w:r>
          </w:p>
        </w:tc>
        <w:tc>
          <w:tcPr>
            <w:tcW w:w="2133" w:type="pct"/>
            <w:tcBorders>
              <w:top w:val="single" w:sz="4" w:space="0" w:color="auto"/>
              <w:left w:val="single" w:sz="4" w:space="0" w:color="auto"/>
              <w:bottom w:val="single" w:sz="4" w:space="0" w:color="auto"/>
              <w:right w:val="single" w:sz="4" w:space="0" w:color="auto"/>
            </w:tcBorders>
          </w:tcPr>
          <w:p w14:paraId="11DF91BD" w14:textId="77777777" w:rsidR="00E152A7" w:rsidRPr="00EA5CE8" w:rsidRDefault="00E152A7" w:rsidP="00AB0CFD">
            <w:pPr>
              <w:spacing w:before="30" w:after="30" w:line="276" w:lineRule="auto"/>
              <w:rPr>
                <w:rFonts w:eastAsia="Calibri" w:cs="Times New Roman"/>
                <w:color w:val="404040"/>
                <w:lang w:eastAsia="en-GB"/>
              </w:rPr>
            </w:pPr>
            <w:r w:rsidRPr="00EA5CE8">
              <w:rPr>
                <w:rFonts w:eastAsia="Calibri" w:cs="Times New Roman"/>
                <w:color w:val="404040"/>
                <w:lang w:eastAsia="en-GB"/>
              </w:rPr>
              <w:t>SECAS</w:t>
            </w:r>
          </w:p>
        </w:tc>
      </w:tr>
      <w:tr w:rsidR="00E152A7" w:rsidRPr="00EA5CE8" w14:paraId="0684CF3B"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553999F9"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Joe Hehir</w:t>
            </w:r>
          </w:p>
        </w:tc>
        <w:tc>
          <w:tcPr>
            <w:tcW w:w="2133" w:type="pct"/>
            <w:tcBorders>
              <w:top w:val="single" w:sz="4" w:space="0" w:color="auto"/>
              <w:left w:val="single" w:sz="4" w:space="0" w:color="auto"/>
              <w:bottom w:val="single" w:sz="4" w:space="0" w:color="auto"/>
              <w:right w:val="single" w:sz="4" w:space="0" w:color="auto"/>
            </w:tcBorders>
          </w:tcPr>
          <w:p w14:paraId="1DD4C48B"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SECAS</w:t>
            </w:r>
          </w:p>
        </w:tc>
      </w:tr>
      <w:tr w:rsidR="00E152A7" w:rsidRPr="00EA5CE8" w14:paraId="1376F394"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300ECFE5"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Brad Baker</w:t>
            </w:r>
          </w:p>
        </w:tc>
        <w:tc>
          <w:tcPr>
            <w:tcW w:w="2133" w:type="pct"/>
            <w:tcBorders>
              <w:top w:val="single" w:sz="4" w:space="0" w:color="auto"/>
              <w:left w:val="single" w:sz="4" w:space="0" w:color="auto"/>
              <w:bottom w:val="single" w:sz="4" w:space="0" w:color="auto"/>
              <w:right w:val="single" w:sz="4" w:space="0" w:color="auto"/>
            </w:tcBorders>
          </w:tcPr>
          <w:p w14:paraId="434A4647"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SECAS</w:t>
            </w:r>
          </w:p>
        </w:tc>
      </w:tr>
      <w:tr w:rsidR="00E152A7" w:rsidRPr="00EA5CE8" w14:paraId="4BB59B42"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556B29D0"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Joey Manners</w:t>
            </w:r>
          </w:p>
        </w:tc>
        <w:tc>
          <w:tcPr>
            <w:tcW w:w="2133" w:type="pct"/>
            <w:tcBorders>
              <w:top w:val="single" w:sz="4" w:space="0" w:color="auto"/>
              <w:left w:val="single" w:sz="4" w:space="0" w:color="auto"/>
              <w:bottom w:val="single" w:sz="4" w:space="0" w:color="auto"/>
              <w:right w:val="single" w:sz="4" w:space="0" w:color="auto"/>
            </w:tcBorders>
          </w:tcPr>
          <w:p w14:paraId="0B30017C"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SECAS</w:t>
            </w:r>
          </w:p>
        </w:tc>
      </w:tr>
      <w:tr w:rsidR="00E152A7" w:rsidRPr="00EA5CE8" w14:paraId="2BA53B71"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11120913" w14:textId="77777777" w:rsidR="00E152A7" w:rsidRPr="00EA5CE8" w:rsidRDefault="00E152A7" w:rsidP="00AB0CFD">
            <w:pPr>
              <w:spacing w:before="30" w:after="30" w:line="276" w:lineRule="auto"/>
              <w:rPr>
                <w:rFonts w:eastAsia="Calibri" w:cs="Arial"/>
                <w:color w:val="404040"/>
                <w:szCs w:val="20"/>
                <w:lang w:eastAsia="en-GB"/>
              </w:rPr>
            </w:pPr>
            <w:r w:rsidRPr="00EA5CE8">
              <w:rPr>
                <w:rFonts w:eastAsia="Calibri" w:cs="Arial"/>
                <w:color w:val="404040"/>
                <w:szCs w:val="20"/>
                <w:lang w:eastAsia="en-GB"/>
              </w:rPr>
              <w:t>David Walsh</w:t>
            </w:r>
          </w:p>
        </w:tc>
        <w:tc>
          <w:tcPr>
            <w:tcW w:w="2133" w:type="pct"/>
            <w:tcBorders>
              <w:top w:val="single" w:sz="4" w:space="0" w:color="auto"/>
              <w:left w:val="single" w:sz="4" w:space="0" w:color="auto"/>
              <w:bottom w:val="single" w:sz="4" w:space="0" w:color="auto"/>
              <w:right w:val="single" w:sz="4" w:space="0" w:color="auto"/>
            </w:tcBorders>
          </w:tcPr>
          <w:p w14:paraId="7BF2C610" w14:textId="77777777" w:rsidR="00E152A7" w:rsidRPr="00EA5CE8" w:rsidRDefault="00E152A7" w:rsidP="00AB0CFD">
            <w:pPr>
              <w:spacing w:before="30" w:after="30" w:line="276" w:lineRule="auto"/>
              <w:rPr>
                <w:rFonts w:eastAsia="Calibri" w:cs="Times New Roman"/>
                <w:color w:val="404040"/>
                <w:lang w:eastAsia="en-GB"/>
              </w:rPr>
            </w:pPr>
            <w:r w:rsidRPr="00EA5CE8">
              <w:rPr>
                <w:rFonts w:eastAsia="Calibri" w:cs="Times New Roman"/>
                <w:color w:val="404040"/>
                <w:lang w:eastAsia="en-GB"/>
              </w:rPr>
              <w:t xml:space="preserve">DCC </w:t>
            </w:r>
          </w:p>
        </w:tc>
      </w:tr>
      <w:tr w:rsidR="00E152A7" w:rsidRPr="00EA5CE8" w14:paraId="7DD6A735"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7CE6199E" w14:textId="77777777" w:rsidR="00E152A7" w:rsidRPr="00EA5CE8" w:rsidRDefault="00E152A7" w:rsidP="00AB0CFD">
            <w:pPr>
              <w:spacing w:before="30" w:after="30" w:line="276" w:lineRule="auto"/>
              <w:rPr>
                <w:rFonts w:eastAsia="Calibri" w:cs="Arial"/>
                <w:color w:val="404040"/>
                <w:szCs w:val="20"/>
                <w:lang w:eastAsia="en-GB"/>
              </w:rPr>
            </w:pPr>
            <w:r w:rsidRPr="00EA5CE8">
              <w:rPr>
                <w:rFonts w:eastAsia="Calibri" w:cs="Arial"/>
                <w:color w:val="404040"/>
                <w:szCs w:val="20"/>
                <w:lang w:eastAsia="en-GB"/>
              </w:rPr>
              <w:t xml:space="preserve">Robin </w:t>
            </w:r>
            <w:proofErr w:type="spellStart"/>
            <w:r w:rsidRPr="00EA5CE8">
              <w:rPr>
                <w:rFonts w:eastAsia="Calibri" w:cs="Arial"/>
                <w:color w:val="404040"/>
                <w:szCs w:val="20"/>
                <w:lang w:eastAsia="en-GB"/>
              </w:rPr>
              <w:t>Seaby</w:t>
            </w:r>
            <w:proofErr w:type="spellEnd"/>
          </w:p>
        </w:tc>
        <w:tc>
          <w:tcPr>
            <w:tcW w:w="2133" w:type="pct"/>
            <w:tcBorders>
              <w:top w:val="single" w:sz="4" w:space="0" w:color="auto"/>
              <w:left w:val="single" w:sz="4" w:space="0" w:color="auto"/>
              <w:bottom w:val="single" w:sz="4" w:space="0" w:color="auto"/>
              <w:right w:val="single" w:sz="4" w:space="0" w:color="auto"/>
            </w:tcBorders>
          </w:tcPr>
          <w:p w14:paraId="2271ABC0" w14:textId="77777777" w:rsidR="00E152A7" w:rsidRPr="00EA5CE8" w:rsidRDefault="00E152A7" w:rsidP="00AB0CFD">
            <w:pPr>
              <w:spacing w:before="30" w:after="30" w:line="276" w:lineRule="auto"/>
              <w:rPr>
                <w:rFonts w:eastAsia="Calibri" w:cs="Times New Roman"/>
                <w:color w:val="404040"/>
                <w:lang w:eastAsia="en-GB"/>
              </w:rPr>
            </w:pPr>
            <w:r w:rsidRPr="00EA5CE8">
              <w:rPr>
                <w:rFonts w:eastAsia="Calibri" w:cs="Times New Roman"/>
                <w:color w:val="404040"/>
                <w:lang w:eastAsia="en-GB"/>
              </w:rPr>
              <w:t>DCC</w:t>
            </w:r>
          </w:p>
        </w:tc>
      </w:tr>
      <w:tr w:rsidR="00E152A7" w:rsidRPr="00EA5CE8" w14:paraId="35BDED07"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2ED9A0E1"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Dean Florence</w:t>
            </w:r>
          </w:p>
        </w:tc>
        <w:tc>
          <w:tcPr>
            <w:tcW w:w="2133" w:type="pct"/>
            <w:tcBorders>
              <w:top w:val="single" w:sz="4" w:space="0" w:color="auto"/>
              <w:left w:val="single" w:sz="4" w:space="0" w:color="auto"/>
              <w:bottom w:val="single" w:sz="4" w:space="0" w:color="auto"/>
              <w:right w:val="single" w:sz="4" w:space="0" w:color="auto"/>
            </w:tcBorders>
          </w:tcPr>
          <w:p w14:paraId="6DFD9EB1"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DCC</w:t>
            </w:r>
          </w:p>
        </w:tc>
      </w:tr>
      <w:tr w:rsidR="00E152A7" w:rsidRPr="00EA5CE8" w14:paraId="319DA752"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523B01C7" w14:textId="77777777" w:rsidR="00E152A7" w:rsidRPr="00EA5CE8" w:rsidRDefault="00E152A7" w:rsidP="00AB0CFD">
            <w:pPr>
              <w:spacing w:before="30" w:after="30" w:line="276" w:lineRule="auto"/>
              <w:rPr>
                <w:rFonts w:eastAsia="Calibri" w:cs="Arial"/>
                <w:color w:val="404040"/>
                <w:szCs w:val="20"/>
                <w:lang w:eastAsia="en-GB"/>
              </w:rPr>
            </w:pPr>
            <w:r w:rsidRPr="00EA5CE8">
              <w:rPr>
                <w:rFonts w:eastAsia="Calibri" w:cs="Arial"/>
                <w:color w:val="404040"/>
                <w:szCs w:val="20"/>
                <w:lang w:eastAsia="en-GB"/>
              </w:rPr>
              <w:t>Remi Oluwabamise</w:t>
            </w:r>
          </w:p>
        </w:tc>
        <w:tc>
          <w:tcPr>
            <w:tcW w:w="2133" w:type="pct"/>
            <w:tcBorders>
              <w:top w:val="single" w:sz="4" w:space="0" w:color="auto"/>
              <w:left w:val="single" w:sz="4" w:space="0" w:color="auto"/>
              <w:bottom w:val="single" w:sz="4" w:space="0" w:color="auto"/>
              <w:right w:val="single" w:sz="4" w:space="0" w:color="auto"/>
            </w:tcBorders>
          </w:tcPr>
          <w:p w14:paraId="3CC02023" w14:textId="77777777" w:rsidR="00E152A7" w:rsidRPr="00EA5CE8" w:rsidRDefault="00E152A7" w:rsidP="00AB0CFD">
            <w:pPr>
              <w:spacing w:before="30" w:after="30" w:line="276" w:lineRule="auto"/>
              <w:rPr>
                <w:rFonts w:eastAsia="Calibri" w:cs="Times New Roman"/>
                <w:color w:val="404040"/>
                <w:lang w:eastAsia="en-GB"/>
              </w:rPr>
            </w:pPr>
            <w:r w:rsidRPr="00EA5CE8">
              <w:rPr>
                <w:rFonts w:eastAsia="Calibri" w:cs="Times New Roman"/>
                <w:color w:val="404040"/>
                <w:lang w:eastAsia="en-GB"/>
              </w:rPr>
              <w:t>DCC</w:t>
            </w:r>
          </w:p>
        </w:tc>
      </w:tr>
      <w:tr w:rsidR="00E152A7" w:rsidRPr="00EA5CE8" w14:paraId="54EAB7BD"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0828CF02"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Easton Brown</w:t>
            </w:r>
          </w:p>
        </w:tc>
        <w:tc>
          <w:tcPr>
            <w:tcW w:w="2133" w:type="pct"/>
            <w:tcBorders>
              <w:top w:val="single" w:sz="4" w:space="0" w:color="auto"/>
              <w:left w:val="single" w:sz="4" w:space="0" w:color="auto"/>
              <w:bottom w:val="single" w:sz="4" w:space="0" w:color="auto"/>
              <w:right w:val="single" w:sz="4" w:space="0" w:color="auto"/>
            </w:tcBorders>
          </w:tcPr>
          <w:p w14:paraId="209A2784"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DCC</w:t>
            </w:r>
          </w:p>
        </w:tc>
      </w:tr>
      <w:tr w:rsidR="00E152A7" w:rsidRPr="00EA5CE8" w14:paraId="1F4ECA97"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4B979DC2" w14:textId="3D640463"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Graeme Leg</w:t>
            </w:r>
            <w:r>
              <w:rPr>
                <w:rFonts w:cs="Arial"/>
                <w:color w:val="404040"/>
                <w:szCs w:val="20"/>
                <w:lang w:eastAsia="en-GB"/>
              </w:rPr>
              <w:t>ge</w:t>
            </w:r>
            <w:r w:rsidRPr="00EA5CE8">
              <w:rPr>
                <w:rFonts w:cs="Arial"/>
                <w:color w:val="404040"/>
                <w:szCs w:val="20"/>
                <w:lang w:eastAsia="en-GB"/>
              </w:rPr>
              <w:t>tt</w:t>
            </w:r>
          </w:p>
        </w:tc>
        <w:tc>
          <w:tcPr>
            <w:tcW w:w="2133" w:type="pct"/>
            <w:tcBorders>
              <w:top w:val="single" w:sz="4" w:space="0" w:color="auto"/>
              <w:left w:val="single" w:sz="4" w:space="0" w:color="auto"/>
              <w:bottom w:val="single" w:sz="4" w:space="0" w:color="auto"/>
              <w:right w:val="single" w:sz="4" w:space="0" w:color="auto"/>
            </w:tcBorders>
          </w:tcPr>
          <w:p w14:paraId="128BFBFD"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DCC</w:t>
            </w:r>
          </w:p>
        </w:tc>
      </w:tr>
      <w:tr w:rsidR="00E152A7" w:rsidRPr="00EA5CE8" w14:paraId="4CD60CAB"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2CBEC6BE"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Sasha Townsend</w:t>
            </w:r>
          </w:p>
        </w:tc>
        <w:tc>
          <w:tcPr>
            <w:tcW w:w="2133" w:type="pct"/>
            <w:tcBorders>
              <w:top w:val="single" w:sz="4" w:space="0" w:color="auto"/>
              <w:left w:val="single" w:sz="4" w:space="0" w:color="auto"/>
              <w:bottom w:val="single" w:sz="4" w:space="0" w:color="auto"/>
              <w:right w:val="single" w:sz="4" w:space="0" w:color="auto"/>
            </w:tcBorders>
          </w:tcPr>
          <w:p w14:paraId="2DDB303B"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DCC</w:t>
            </w:r>
          </w:p>
        </w:tc>
      </w:tr>
      <w:tr w:rsidR="00E152A7" w:rsidRPr="00EA5CE8" w14:paraId="4A126A35"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4AB0CFAA"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Chun Chen</w:t>
            </w:r>
          </w:p>
        </w:tc>
        <w:tc>
          <w:tcPr>
            <w:tcW w:w="2133" w:type="pct"/>
            <w:tcBorders>
              <w:top w:val="single" w:sz="4" w:space="0" w:color="auto"/>
              <w:left w:val="single" w:sz="4" w:space="0" w:color="auto"/>
              <w:bottom w:val="single" w:sz="4" w:space="0" w:color="auto"/>
              <w:right w:val="single" w:sz="4" w:space="0" w:color="auto"/>
            </w:tcBorders>
          </w:tcPr>
          <w:p w14:paraId="7C1B9AE6"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DCC</w:t>
            </w:r>
          </w:p>
        </w:tc>
      </w:tr>
      <w:tr w:rsidR="00E152A7" w:rsidRPr="00EA5CE8" w14:paraId="701F277E"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3F814873" w14:textId="77777777" w:rsidR="00E152A7" w:rsidRPr="00EA5CE8" w:rsidRDefault="00E152A7" w:rsidP="00AB0CFD">
            <w:pPr>
              <w:spacing w:before="30" w:after="30" w:line="276" w:lineRule="auto"/>
              <w:rPr>
                <w:rFonts w:eastAsia="Calibri" w:cs="Arial"/>
                <w:color w:val="404040"/>
                <w:szCs w:val="20"/>
                <w:lang w:eastAsia="en-GB"/>
              </w:rPr>
            </w:pPr>
            <w:r w:rsidRPr="00EA5CE8">
              <w:rPr>
                <w:rFonts w:cs="Arial"/>
                <w:color w:val="404040"/>
                <w:szCs w:val="20"/>
                <w:lang w:eastAsia="en-GB"/>
              </w:rPr>
              <w:t>Simon Trivella</w:t>
            </w:r>
          </w:p>
        </w:tc>
        <w:tc>
          <w:tcPr>
            <w:tcW w:w="2133" w:type="pct"/>
            <w:tcBorders>
              <w:top w:val="single" w:sz="4" w:space="0" w:color="auto"/>
              <w:left w:val="single" w:sz="4" w:space="0" w:color="auto"/>
              <w:bottom w:val="single" w:sz="4" w:space="0" w:color="auto"/>
              <w:right w:val="single" w:sz="4" w:space="0" w:color="auto"/>
            </w:tcBorders>
          </w:tcPr>
          <w:p w14:paraId="5DC52B68" w14:textId="77777777" w:rsidR="00E152A7" w:rsidRPr="00EA5CE8" w:rsidRDefault="00E152A7" w:rsidP="00AB0CFD">
            <w:pPr>
              <w:spacing w:before="30" w:after="30" w:line="276" w:lineRule="auto"/>
              <w:rPr>
                <w:rFonts w:eastAsia="Calibri" w:cs="Times New Roman"/>
                <w:color w:val="404040"/>
                <w:lang w:eastAsia="en-GB"/>
              </w:rPr>
            </w:pPr>
            <w:r w:rsidRPr="00EA5CE8">
              <w:rPr>
                <w:rFonts w:cs="Times New Roman"/>
                <w:color w:val="404040"/>
                <w:lang w:eastAsia="en-GB"/>
              </w:rPr>
              <w:t>British Gas</w:t>
            </w:r>
          </w:p>
        </w:tc>
      </w:tr>
      <w:tr w:rsidR="00E152A7" w:rsidRPr="00EA5CE8" w14:paraId="123F7FD8"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763B107F"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Lynne Hargrave</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52F4BE90"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Calvin Capital</w:t>
            </w:r>
          </w:p>
        </w:tc>
      </w:tr>
      <w:tr w:rsidR="00E152A7" w:rsidRPr="00EA5CE8" w14:paraId="56CED7FE"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291839AB"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Alex Hurcombe</w:t>
            </w:r>
          </w:p>
        </w:tc>
        <w:tc>
          <w:tcPr>
            <w:tcW w:w="2133" w:type="pct"/>
            <w:tcBorders>
              <w:top w:val="single" w:sz="4" w:space="0" w:color="auto"/>
              <w:left w:val="single" w:sz="4" w:space="0" w:color="auto"/>
              <w:bottom w:val="single" w:sz="4" w:space="0" w:color="auto"/>
              <w:right w:val="single" w:sz="4" w:space="0" w:color="auto"/>
            </w:tcBorders>
          </w:tcPr>
          <w:p w14:paraId="21691171"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EDF Energy</w:t>
            </w:r>
          </w:p>
        </w:tc>
      </w:tr>
      <w:tr w:rsidR="00E152A7" w:rsidRPr="00EA5CE8" w14:paraId="6F4D2826"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5841111A" w14:textId="77777777" w:rsidR="00E152A7" w:rsidRPr="00EA5CE8" w:rsidRDefault="00E152A7" w:rsidP="00AB0CFD">
            <w:pPr>
              <w:spacing w:before="30" w:after="30" w:line="276" w:lineRule="auto"/>
              <w:rPr>
                <w:rFonts w:eastAsia="Calibri" w:cs="Arial"/>
                <w:color w:val="404040"/>
                <w:szCs w:val="20"/>
                <w:lang w:eastAsia="en-GB"/>
              </w:rPr>
            </w:pPr>
            <w:r w:rsidRPr="00EA5CE8">
              <w:rPr>
                <w:rFonts w:cs="Arial"/>
                <w:color w:val="404040"/>
                <w:szCs w:val="20"/>
                <w:lang w:eastAsia="en-GB"/>
              </w:rPr>
              <w:t>Robert Williams</w:t>
            </w:r>
          </w:p>
        </w:tc>
        <w:tc>
          <w:tcPr>
            <w:tcW w:w="2133" w:type="pct"/>
            <w:tcBorders>
              <w:top w:val="single" w:sz="4" w:space="0" w:color="auto"/>
              <w:left w:val="single" w:sz="4" w:space="0" w:color="auto"/>
              <w:bottom w:val="single" w:sz="4" w:space="0" w:color="auto"/>
              <w:right w:val="single" w:sz="4" w:space="0" w:color="auto"/>
            </w:tcBorders>
          </w:tcPr>
          <w:p w14:paraId="5339E684" w14:textId="77777777" w:rsidR="00E152A7" w:rsidRPr="00EA5CE8" w:rsidRDefault="00E152A7" w:rsidP="00AB0CFD">
            <w:pPr>
              <w:spacing w:before="30" w:after="30" w:line="276" w:lineRule="auto"/>
              <w:rPr>
                <w:rFonts w:eastAsia="Calibri" w:cs="Times New Roman"/>
                <w:color w:val="404040"/>
                <w:lang w:eastAsia="en-GB"/>
              </w:rPr>
            </w:pPr>
            <w:proofErr w:type="gramStart"/>
            <w:r w:rsidRPr="00EA5CE8">
              <w:rPr>
                <w:rFonts w:cs="Times New Roman"/>
                <w:color w:val="404040"/>
                <w:lang w:eastAsia="en-GB"/>
              </w:rPr>
              <w:t>E.ON</w:t>
            </w:r>
            <w:proofErr w:type="gramEnd"/>
          </w:p>
        </w:tc>
      </w:tr>
      <w:tr w:rsidR="00E152A7" w:rsidRPr="00EA5CE8" w14:paraId="67EECDF5"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7E0A1D9B"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Ferenc</w:t>
            </w:r>
          </w:p>
        </w:tc>
        <w:tc>
          <w:tcPr>
            <w:tcW w:w="2133" w:type="pct"/>
            <w:tcBorders>
              <w:top w:val="single" w:sz="4" w:space="0" w:color="auto"/>
              <w:left w:val="single" w:sz="4" w:space="0" w:color="auto"/>
              <w:bottom w:val="single" w:sz="4" w:space="0" w:color="auto"/>
              <w:right w:val="single" w:sz="4" w:space="0" w:color="auto"/>
            </w:tcBorders>
          </w:tcPr>
          <w:p w14:paraId="651EC169" w14:textId="46F7AC0D" w:rsidR="00E152A7" w:rsidRPr="00EA5CE8" w:rsidRDefault="00E152A7" w:rsidP="00AB0CFD">
            <w:pPr>
              <w:spacing w:before="30" w:after="30"/>
              <w:rPr>
                <w:rFonts w:cs="Times New Roman"/>
                <w:color w:val="404040"/>
                <w:lang w:eastAsia="en-GB"/>
              </w:rPr>
            </w:pPr>
            <w:proofErr w:type="spellStart"/>
            <w:r>
              <w:rPr>
                <w:rFonts w:cs="Times New Roman"/>
                <w:color w:val="404040"/>
                <w:lang w:eastAsia="en-GB"/>
              </w:rPr>
              <w:t>GeoTogether</w:t>
            </w:r>
            <w:proofErr w:type="spellEnd"/>
          </w:p>
        </w:tc>
      </w:tr>
      <w:tr w:rsidR="00E152A7" w:rsidRPr="00EA5CE8" w14:paraId="52B06384"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4F6010A9"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Elias Hanna</w:t>
            </w:r>
          </w:p>
        </w:tc>
        <w:tc>
          <w:tcPr>
            <w:tcW w:w="2133" w:type="pct"/>
            <w:tcBorders>
              <w:top w:val="single" w:sz="4" w:space="0" w:color="auto"/>
              <w:left w:val="single" w:sz="4" w:space="0" w:color="auto"/>
              <w:bottom w:val="single" w:sz="4" w:space="0" w:color="auto"/>
              <w:right w:val="single" w:sz="4" w:space="0" w:color="auto"/>
            </w:tcBorders>
          </w:tcPr>
          <w:p w14:paraId="336C095F" w14:textId="0C568AE1" w:rsidR="00E152A7" w:rsidRPr="00EA5CE8" w:rsidRDefault="00E152A7" w:rsidP="00AB0CFD">
            <w:pPr>
              <w:spacing w:before="30" w:after="30"/>
              <w:rPr>
                <w:rFonts w:cs="Times New Roman"/>
                <w:color w:val="404040"/>
                <w:lang w:eastAsia="en-GB"/>
              </w:rPr>
            </w:pPr>
          </w:p>
        </w:tc>
      </w:tr>
      <w:tr w:rsidR="00E152A7" w:rsidRPr="00EA5CE8" w14:paraId="25A97A76"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53E6AF45"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Alastair Cobb</w:t>
            </w:r>
          </w:p>
        </w:tc>
        <w:tc>
          <w:tcPr>
            <w:tcW w:w="2133" w:type="pct"/>
            <w:tcBorders>
              <w:top w:val="single" w:sz="4" w:space="0" w:color="auto"/>
              <w:left w:val="single" w:sz="4" w:space="0" w:color="auto"/>
              <w:bottom w:val="single" w:sz="4" w:space="0" w:color="auto"/>
              <w:right w:val="single" w:sz="4" w:space="0" w:color="auto"/>
            </w:tcBorders>
          </w:tcPr>
          <w:p w14:paraId="53DECE9F"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 xml:space="preserve">Landis &amp; </w:t>
            </w:r>
            <w:proofErr w:type="spellStart"/>
            <w:r w:rsidRPr="00EA5CE8">
              <w:rPr>
                <w:rFonts w:cs="Times New Roman"/>
                <w:color w:val="404040"/>
                <w:lang w:eastAsia="en-GB"/>
              </w:rPr>
              <w:t>Gyr</w:t>
            </w:r>
            <w:proofErr w:type="spellEnd"/>
          </w:p>
        </w:tc>
      </w:tr>
      <w:tr w:rsidR="00E152A7" w:rsidRPr="00EA5CE8" w14:paraId="1EDCE4F3"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71CBCC64"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John Noad</w:t>
            </w:r>
          </w:p>
        </w:tc>
        <w:tc>
          <w:tcPr>
            <w:tcW w:w="2133" w:type="pct"/>
            <w:tcBorders>
              <w:top w:val="single" w:sz="4" w:space="0" w:color="auto"/>
              <w:left w:val="single" w:sz="4" w:space="0" w:color="auto"/>
              <w:bottom w:val="single" w:sz="4" w:space="0" w:color="auto"/>
              <w:right w:val="single" w:sz="4" w:space="0" w:color="auto"/>
            </w:tcBorders>
          </w:tcPr>
          <w:p w14:paraId="326D1C21"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Npower</w:t>
            </w:r>
          </w:p>
        </w:tc>
      </w:tr>
      <w:tr w:rsidR="00E152A7" w:rsidRPr="00EA5CE8" w14:paraId="06B8BFA6"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1B47F248"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Ralph Baxter</w:t>
            </w:r>
          </w:p>
        </w:tc>
        <w:tc>
          <w:tcPr>
            <w:tcW w:w="2133" w:type="pct"/>
            <w:tcBorders>
              <w:top w:val="single" w:sz="4" w:space="0" w:color="auto"/>
              <w:left w:val="single" w:sz="4" w:space="0" w:color="auto"/>
              <w:bottom w:val="single" w:sz="4" w:space="0" w:color="auto"/>
              <w:right w:val="single" w:sz="4" w:space="0" w:color="auto"/>
            </w:tcBorders>
          </w:tcPr>
          <w:p w14:paraId="322669E2"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Octo Energy</w:t>
            </w:r>
          </w:p>
        </w:tc>
      </w:tr>
      <w:tr w:rsidR="00E152A7" w:rsidRPr="00EA5CE8" w14:paraId="417A552D"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789CEDC9" w14:textId="77777777" w:rsidR="00E152A7" w:rsidRPr="00EA5CE8" w:rsidRDefault="00E152A7" w:rsidP="00AB0CFD">
            <w:pPr>
              <w:spacing w:before="30" w:after="30" w:line="276" w:lineRule="auto"/>
              <w:rPr>
                <w:rFonts w:eastAsia="Calibri" w:cs="Arial"/>
                <w:color w:val="404040"/>
                <w:szCs w:val="20"/>
                <w:lang w:eastAsia="en-GB"/>
              </w:rPr>
            </w:pPr>
            <w:r w:rsidRPr="00EA5CE8">
              <w:rPr>
                <w:rFonts w:cs="Arial"/>
                <w:color w:val="404040"/>
                <w:szCs w:val="20"/>
                <w:lang w:eastAsia="en-GB"/>
              </w:rPr>
              <w:t>Mahfuzar Rahman</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375B37D9" w14:textId="77777777" w:rsidR="00E152A7" w:rsidRPr="00EA5CE8" w:rsidRDefault="00E152A7" w:rsidP="00AB0CFD">
            <w:pPr>
              <w:spacing w:before="30" w:after="30" w:line="276" w:lineRule="auto"/>
              <w:rPr>
                <w:rFonts w:eastAsia="Calibri" w:cs="Times New Roman"/>
                <w:color w:val="404040"/>
                <w:lang w:eastAsia="en-GB"/>
              </w:rPr>
            </w:pPr>
            <w:r w:rsidRPr="00EA5CE8">
              <w:rPr>
                <w:rFonts w:cs="Times New Roman"/>
                <w:color w:val="404040"/>
                <w:lang w:eastAsia="en-GB"/>
              </w:rPr>
              <w:t>Scottish Power</w:t>
            </w:r>
          </w:p>
        </w:tc>
      </w:tr>
      <w:tr w:rsidR="00E152A7" w:rsidRPr="00EA5CE8" w14:paraId="66808FCB"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0D2274EB"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Eric Taylor</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7DEC1F7A"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SLS</w:t>
            </w:r>
          </w:p>
        </w:tc>
      </w:tr>
      <w:tr w:rsidR="00E152A7" w:rsidRPr="00EA5CE8" w14:paraId="472080ED"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6D193DFA"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Matt Alexander</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7C6B9AD9"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SSEN</w:t>
            </w:r>
          </w:p>
        </w:tc>
      </w:tr>
      <w:tr w:rsidR="00E152A7" w:rsidRPr="00EA5CE8" w14:paraId="40D95B6F"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44FED4F2"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Emslie Law</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7F3C2160"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OVO Energy</w:t>
            </w:r>
          </w:p>
        </w:tc>
      </w:tr>
      <w:tr w:rsidR="00E152A7" w:rsidRPr="00EA5CE8" w14:paraId="2FC2B950"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6D957907"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Rachel Norberg</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1A50FB3B"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Utilita</w:t>
            </w:r>
          </w:p>
        </w:tc>
      </w:tr>
      <w:tr w:rsidR="00E152A7" w:rsidRPr="00EA5CE8" w14:paraId="72E16387" w14:textId="77777777" w:rsidTr="00AB0CFD">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5C4BF259"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Gemma Slaney</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689D3AB0"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WPD</w:t>
            </w:r>
          </w:p>
        </w:tc>
      </w:tr>
    </w:tbl>
    <w:p w14:paraId="5CF0E901" w14:textId="3785E331" w:rsidR="00E42FFB" w:rsidRDefault="000055AC" w:rsidP="00387635">
      <w:pPr>
        <w:pStyle w:val="Subtitle"/>
      </w:pPr>
      <w:r>
        <w:t>Overview</w:t>
      </w:r>
    </w:p>
    <w:p w14:paraId="3CF41113" w14:textId="2E307FAE" w:rsidR="00E91C2A" w:rsidRDefault="00AD70B0" w:rsidP="000055AC">
      <w:r>
        <w:t>The Smart energy Code Administrator and Secretariat (</w:t>
      </w:r>
      <w:r w:rsidR="000055AC">
        <w:t>SECAS</w:t>
      </w:r>
      <w:r>
        <w:t>)</w:t>
      </w:r>
      <w:r w:rsidR="000055AC">
        <w:t xml:space="preserve"> provided an overview of the issue identified by </w:t>
      </w:r>
      <w:hyperlink r:id="rId8" w:history="1">
        <w:r w:rsidR="000055AC" w:rsidRPr="00583EC5">
          <w:rPr>
            <w:rStyle w:val="Hyperlink"/>
          </w:rPr>
          <w:t>MP</w:t>
        </w:r>
        <w:r w:rsidR="00E62969" w:rsidRPr="00583EC5">
          <w:rPr>
            <w:rStyle w:val="Hyperlink"/>
          </w:rPr>
          <w:t>1</w:t>
        </w:r>
        <w:r w:rsidR="00E6727F">
          <w:rPr>
            <w:rStyle w:val="Hyperlink"/>
          </w:rPr>
          <w:t>16</w:t>
        </w:r>
        <w:r w:rsidR="000D7BCC" w:rsidRPr="00583EC5">
          <w:rPr>
            <w:rStyle w:val="Hyperlink"/>
          </w:rPr>
          <w:t xml:space="preserve"> </w:t>
        </w:r>
        <w:r w:rsidR="00583EC5" w:rsidRPr="00583EC5">
          <w:rPr>
            <w:rStyle w:val="Hyperlink"/>
          </w:rPr>
          <w:t>‘</w:t>
        </w:r>
        <w:r w:rsidR="00E6727F">
          <w:rPr>
            <w:rStyle w:val="Hyperlink"/>
          </w:rPr>
          <w:t>Service Request Forecasting</w:t>
        </w:r>
        <w:r w:rsidR="00583EC5" w:rsidRPr="00583EC5">
          <w:rPr>
            <w:rStyle w:val="Hyperlink"/>
          </w:rPr>
          <w:t>’</w:t>
        </w:r>
      </w:hyperlink>
      <w:r w:rsidR="00583EC5">
        <w:t xml:space="preserve"> </w:t>
      </w:r>
      <w:r w:rsidR="000D7BCC">
        <w:t xml:space="preserve">and the Proposed Solution put forward by the </w:t>
      </w:r>
      <w:r w:rsidR="00583EC5">
        <w:t xml:space="preserve">Data </w:t>
      </w:r>
      <w:r w:rsidR="00583EC5">
        <w:lastRenderedPageBreak/>
        <w:t>Communications Company (</w:t>
      </w:r>
      <w:r w:rsidR="000D7BCC">
        <w:t>DCC</w:t>
      </w:r>
      <w:r w:rsidR="00583EC5">
        <w:t>)</w:t>
      </w:r>
      <w:r w:rsidR="000D7BCC">
        <w:t>.</w:t>
      </w:r>
      <w:r w:rsidR="00EB17D8">
        <w:t xml:space="preserve"> </w:t>
      </w:r>
      <w:r w:rsidR="00DF7D1A">
        <w:t>The DCC also provided an update on their forecast modelling project.</w:t>
      </w:r>
    </w:p>
    <w:p w14:paraId="5471BFC2" w14:textId="77777777" w:rsidR="009949FA" w:rsidRDefault="009949FA" w:rsidP="000055AC"/>
    <w:p w14:paraId="4C3492B5" w14:textId="77777777" w:rsidR="000055AC" w:rsidRDefault="000055AC" w:rsidP="009153F2">
      <w:pPr>
        <w:pStyle w:val="Subheading"/>
      </w:pPr>
      <w:r w:rsidRPr="009949FA">
        <w:t>Issue</w:t>
      </w:r>
      <w:r>
        <w:t>:</w:t>
      </w:r>
    </w:p>
    <w:p w14:paraId="7FAA8C94" w14:textId="2041C7EE" w:rsidR="009949FA" w:rsidRDefault="00E6727F" w:rsidP="000D7BCC">
      <w:pPr>
        <w:pStyle w:val="ListParagraph"/>
      </w:pPr>
      <w:r>
        <w:t>Each quarter a DCC User must submit an 8-month Service Request forecast</w:t>
      </w:r>
    </w:p>
    <w:p w14:paraId="60A5FC45" w14:textId="7AE0A72B" w:rsidR="00507273" w:rsidRDefault="00E6727F" w:rsidP="000D7BCC">
      <w:pPr>
        <w:pStyle w:val="ListParagraph"/>
      </w:pPr>
      <w:r>
        <w:t>Each forecast takes approximately two days to complete per DCC User</w:t>
      </w:r>
    </w:p>
    <w:p w14:paraId="177A1A6E" w14:textId="1421037C" w:rsidR="00E6727F" w:rsidRDefault="00E6727F" w:rsidP="000D7BCC">
      <w:pPr>
        <w:pStyle w:val="ListParagraph"/>
      </w:pPr>
      <w:r>
        <w:t>Experience has shown that the forecasts submitted are not overly accurate</w:t>
      </w:r>
    </w:p>
    <w:p w14:paraId="62040712" w14:textId="77777777" w:rsidR="00583EC5" w:rsidRDefault="00583EC5" w:rsidP="00D160AF"/>
    <w:p w14:paraId="3C3F8A68" w14:textId="60D13871" w:rsidR="005776F4" w:rsidRDefault="00E6727F" w:rsidP="009153F2">
      <w:pPr>
        <w:pStyle w:val="Subheading"/>
      </w:pPr>
      <w:r>
        <w:t>Proposed Solution</w:t>
      </w:r>
      <w:r w:rsidR="005776F4">
        <w:t>:</w:t>
      </w:r>
    </w:p>
    <w:p w14:paraId="7F6B72B8" w14:textId="4E4EBCC1" w:rsidR="00507273" w:rsidRDefault="00E6727F" w:rsidP="00D160AF">
      <w:pPr>
        <w:pStyle w:val="ListParagraph"/>
        <w:numPr>
          <w:ilvl w:val="0"/>
          <w:numId w:val="6"/>
        </w:numPr>
      </w:pPr>
      <w:r>
        <w:t xml:space="preserve">The DCC are to produce short-term, </w:t>
      </w:r>
      <w:r w:rsidR="00761B8A">
        <w:t>medium-term,</w:t>
      </w:r>
      <w:r>
        <w:t xml:space="preserve"> and long-term forecasts internally</w:t>
      </w:r>
      <w:r w:rsidR="00761B8A">
        <w:t xml:space="preserve"> using captured data.</w:t>
      </w:r>
    </w:p>
    <w:p w14:paraId="1D435054" w14:textId="66506DCD" w:rsidR="00761B8A" w:rsidRDefault="00761B8A" w:rsidP="00D160AF">
      <w:pPr>
        <w:pStyle w:val="ListParagraph"/>
        <w:numPr>
          <w:ilvl w:val="0"/>
          <w:numId w:val="6"/>
        </w:numPr>
      </w:pPr>
      <w:r>
        <w:t>The Short-Term Load Forecast will span between 24 and 168 hours</w:t>
      </w:r>
    </w:p>
    <w:p w14:paraId="7DE34A6C" w14:textId="5595A801" w:rsidR="00761B8A" w:rsidRDefault="00761B8A" w:rsidP="00D160AF">
      <w:pPr>
        <w:pStyle w:val="ListParagraph"/>
        <w:numPr>
          <w:ilvl w:val="0"/>
          <w:numId w:val="6"/>
        </w:numPr>
      </w:pPr>
      <w:r>
        <w:t>The Medium-Term Load Forecast will span between one week and one year</w:t>
      </w:r>
    </w:p>
    <w:p w14:paraId="35F76AAC" w14:textId="6F69A11B" w:rsidR="00761B8A" w:rsidRDefault="00761B8A" w:rsidP="00D160AF">
      <w:pPr>
        <w:pStyle w:val="ListParagraph"/>
        <w:numPr>
          <w:ilvl w:val="0"/>
          <w:numId w:val="6"/>
        </w:numPr>
      </w:pPr>
      <w:r>
        <w:t>The Long-Term Load forecast will provide predictions over several years</w:t>
      </w:r>
    </w:p>
    <w:p w14:paraId="42567827" w14:textId="6BB77C99" w:rsidR="00761B8A" w:rsidRDefault="00761B8A" w:rsidP="00DF7D1A">
      <w:pPr>
        <w:pStyle w:val="Subheading"/>
      </w:pPr>
    </w:p>
    <w:p w14:paraId="19974437" w14:textId="4185F66D" w:rsidR="003D2EA8" w:rsidRDefault="00DF7D1A" w:rsidP="00DF7D1A">
      <w:pPr>
        <w:pStyle w:val="Subheading"/>
      </w:pPr>
      <w:r>
        <w:t>DCC forecast modelling project themes</w:t>
      </w:r>
      <w:r w:rsidR="003D2EA8">
        <w:t>:</w:t>
      </w:r>
    </w:p>
    <w:p w14:paraId="5EAF4F0D" w14:textId="77777777" w:rsidR="00DF7D1A" w:rsidRDefault="00DF7D1A" w:rsidP="003D2EA8">
      <w:pPr>
        <w:pStyle w:val="ListParagraph"/>
      </w:pPr>
      <w:r>
        <w:t>DCC User Service Requests are on average three times greater than actual service request volumes</w:t>
      </w:r>
    </w:p>
    <w:p w14:paraId="10C8F2BA" w14:textId="2CE10B55" w:rsidR="00DF7D1A" w:rsidRDefault="00DF7D1A" w:rsidP="003D2EA8">
      <w:pPr>
        <w:pStyle w:val="ListParagraph"/>
      </w:pPr>
      <w:r>
        <w:t>DCC forecasts for each C</w:t>
      </w:r>
      <w:r w:rsidR="00A5165B">
        <w:t xml:space="preserve">ommunication </w:t>
      </w:r>
      <w:r>
        <w:t>S</w:t>
      </w:r>
      <w:r w:rsidR="00A5165B">
        <w:t xml:space="preserve">ervice </w:t>
      </w:r>
      <w:r>
        <w:t>P</w:t>
      </w:r>
      <w:r w:rsidR="00A5165B">
        <w:t>rovider (CSP)</w:t>
      </w:r>
      <w:r>
        <w:t xml:space="preserve"> are accurate within +/- 10%</w:t>
      </w:r>
    </w:p>
    <w:p w14:paraId="58D673B8" w14:textId="77777777" w:rsidR="00DF7D1A" w:rsidRDefault="00DF7D1A" w:rsidP="003D2EA8">
      <w:pPr>
        <w:pStyle w:val="ListParagraph"/>
      </w:pPr>
      <w:r>
        <w:t>Through machine learning approach daily forecast accuracy is +/-10% compared with DCC monthly forecasts averaging +/-60%</w:t>
      </w:r>
    </w:p>
    <w:p w14:paraId="30CF14B4" w14:textId="77777777" w:rsidR="00DF7D1A" w:rsidRDefault="00DF7D1A" w:rsidP="003D2EA8">
      <w:pPr>
        <w:pStyle w:val="ListParagraph"/>
      </w:pPr>
      <w:r>
        <w:t>The DCC would like DCC User input to help shape meter firmware and Device installation forecasts</w:t>
      </w:r>
    </w:p>
    <w:p w14:paraId="5595D8B8" w14:textId="1A00331D" w:rsidR="00761B8A" w:rsidRDefault="00DF7D1A" w:rsidP="003D2EA8">
      <w:pPr>
        <w:pStyle w:val="ListParagraph"/>
      </w:pPr>
      <w:r>
        <w:t>The DCC would also like DCC User input to help identify changes in behaviour regarding the use of rarely used or unused Service Requests</w:t>
      </w:r>
      <w:r w:rsidR="003D2EA8">
        <w:t xml:space="preserve"> </w:t>
      </w:r>
      <w:r w:rsidR="00761B8A">
        <w:t xml:space="preserve"> </w:t>
      </w:r>
    </w:p>
    <w:p w14:paraId="7933DC42" w14:textId="77777777" w:rsidR="00761B8A" w:rsidRPr="00CA3024" w:rsidRDefault="00761B8A" w:rsidP="00761B8A"/>
    <w:p w14:paraId="316EA791" w14:textId="469784D6" w:rsidR="00E31D79" w:rsidRDefault="009949FA" w:rsidP="00387635">
      <w:pPr>
        <w:pStyle w:val="Subtitle"/>
      </w:pPr>
      <w:r>
        <w:t>Working Group d</w:t>
      </w:r>
      <w:r w:rsidR="00E31D79">
        <w:t>iscussions</w:t>
      </w:r>
    </w:p>
    <w:p w14:paraId="3DCFDEAF" w14:textId="26D820BC" w:rsidR="00F85CE1" w:rsidRDefault="00F85CE1" w:rsidP="00F85CE1">
      <w:r>
        <w:t>SECAS presented the issue to the Working Group who acknowledged the issue and added no further comments.</w:t>
      </w:r>
    </w:p>
    <w:p w14:paraId="4C6C938E" w14:textId="48D4E16F" w:rsidR="00F85CE1" w:rsidRDefault="00F85CE1" w:rsidP="00F85CE1">
      <w:r>
        <w:t>SECAS provided an overview of the solution whereby the obligation on DCC Users to submit quarterly Service Request forecasts would be removed, and the DCC would take responsibility of providing Short-Term, Medium-Term and Long-Term Load Forecasts (STLF, MTLF, LTLF). It has been agreed at the July Working Group that the forecasts would be presented to the SEC Panel at the scheduled monthly meetings.</w:t>
      </w:r>
    </w:p>
    <w:p w14:paraId="29D943BB" w14:textId="0461CF38" w:rsidR="00F85CE1" w:rsidRDefault="00F85CE1" w:rsidP="00F85CE1">
      <w:r>
        <w:t>SECAS handed over to the DCC to present their findings from the forecast modelling project that has been undertaken. The data presented showed a higher level of accuracy compared to DCC User-</w:t>
      </w:r>
      <w:r>
        <w:lastRenderedPageBreak/>
        <w:t xml:space="preserve">submitted Service Request forecasts. </w:t>
      </w:r>
      <w:r w:rsidR="00592625">
        <w:t>The DCC informed the Working Group that to increase the level of accuracy of the forecasts they are using a machine learning approach while exploring the use of advanced data recording computer programs.</w:t>
      </w:r>
    </w:p>
    <w:p w14:paraId="375740A1" w14:textId="54244110" w:rsidR="00592625" w:rsidRDefault="00592625" w:rsidP="00F85CE1">
      <w:r>
        <w:t xml:space="preserve">The DCC stated that </w:t>
      </w:r>
      <w:r w:rsidR="00A5165B">
        <w:t>to</w:t>
      </w:r>
      <w:r>
        <w:t xml:space="preserve"> maintain a high level of quality, it would be advantageous to receive input from DCC Users. This is to give the DCC better foresight of firmware updates and meter installations as this data is not readily available to the DCC.</w:t>
      </w:r>
    </w:p>
    <w:p w14:paraId="61D5CF7D" w14:textId="3A64FA35" w:rsidR="00592625" w:rsidRDefault="00592625" w:rsidP="00F85CE1">
      <w:r>
        <w:t xml:space="preserve">Another element that would benefit from DCC User input would be understanding the use/forecasted use of rarely used and unused Service Requests. This is to anticipate any increase </w:t>
      </w:r>
      <w:r w:rsidR="002C12CA">
        <w:t>in the use of Service Requests that are not frequently used. These include:</w:t>
      </w:r>
    </w:p>
    <w:p w14:paraId="51D143FA" w14:textId="2A6CD9D4" w:rsidR="002C12CA" w:rsidRDefault="002C12CA" w:rsidP="00F85CE1">
      <w:r>
        <w:t>Unused</w:t>
      </w:r>
    </w:p>
    <w:p w14:paraId="05DDBC02" w14:textId="43AF181A" w:rsidR="002C12CA" w:rsidRDefault="002C12CA" w:rsidP="002C12CA">
      <w:pPr>
        <w:pStyle w:val="ListParagraph"/>
      </w:pPr>
      <w:r>
        <w:t>Hand-Held Terminals (HHTs) and local commands</w:t>
      </w:r>
    </w:p>
    <w:p w14:paraId="2F3C6946" w14:textId="04967280" w:rsidR="002C12CA" w:rsidRDefault="002C12CA" w:rsidP="002C12CA">
      <w:pPr>
        <w:pStyle w:val="ListParagraph"/>
      </w:pPr>
      <w:r>
        <w:t>Sequencing</w:t>
      </w:r>
    </w:p>
    <w:p w14:paraId="1AB34516" w14:textId="0842FC5B" w:rsidR="002C12CA" w:rsidRDefault="002C12CA" w:rsidP="002C12CA">
      <w:pPr>
        <w:pStyle w:val="ListParagraph"/>
      </w:pPr>
      <w:r>
        <w:t>Customer Identification Numbers</w:t>
      </w:r>
    </w:p>
    <w:p w14:paraId="0CD7D8CC" w14:textId="4F8466A7" w:rsidR="002C12CA" w:rsidRDefault="002C12CA" w:rsidP="002C12CA">
      <w:pPr>
        <w:pStyle w:val="ListParagraph"/>
      </w:pPr>
      <w:r>
        <w:t>Service Opt-Out/Opt-In</w:t>
      </w:r>
    </w:p>
    <w:p w14:paraId="2562E61E" w14:textId="2CED67B8" w:rsidR="002C12CA" w:rsidRDefault="002C12CA" w:rsidP="002C12CA">
      <w:pPr>
        <w:pStyle w:val="ListParagraph"/>
      </w:pPr>
      <w:r>
        <w:t>Twin rate ESMES</w:t>
      </w:r>
    </w:p>
    <w:p w14:paraId="2AB0BF2F" w14:textId="23B6D016" w:rsidR="002C12CA" w:rsidRDefault="002C12CA" w:rsidP="002C12CA">
      <w:r>
        <w:t>Rarely used</w:t>
      </w:r>
    </w:p>
    <w:p w14:paraId="6E1169B2" w14:textId="4222BE17" w:rsidR="002C12CA" w:rsidRDefault="002C12CA" w:rsidP="002C12CA">
      <w:pPr>
        <w:pStyle w:val="ListParagraph"/>
      </w:pPr>
      <w:r>
        <w:t>Disable/Enable supply</w:t>
      </w:r>
    </w:p>
    <w:p w14:paraId="49E34335" w14:textId="07D6D520" w:rsidR="002C12CA" w:rsidRDefault="002C12CA" w:rsidP="002C12CA">
      <w:pPr>
        <w:pStyle w:val="ListParagraph"/>
      </w:pPr>
      <w:r>
        <w:t>Auxiliary Load Control</w:t>
      </w:r>
    </w:p>
    <w:p w14:paraId="57BAE007" w14:textId="58A3F06F" w:rsidR="002C12CA" w:rsidRDefault="002C12CA" w:rsidP="002C12CA">
      <w:pPr>
        <w:pStyle w:val="ListParagraph"/>
      </w:pPr>
      <w:r>
        <w:t>Load Limiting</w:t>
      </w:r>
    </w:p>
    <w:p w14:paraId="244BA86B" w14:textId="5AD4DCD7" w:rsidR="002C12CA" w:rsidRDefault="002C12CA" w:rsidP="002C12CA">
      <w:pPr>
        <w:pStyle w:val="ListParagraph"/>
      </w:pPr>
      <w:r>
        <w:t>Export</w:t>
      </w:r>
    </w:p>
    <w:p w14:paraId="33291B9E" w14:textId="74356D58" w:rsidR="002C12CA" w:rsidRDefault="002C12CA" w:rsidP="002C12CA">
      <w:pPr>
        <w:pStyle w:val="ListParagraph"/>
      </w:pPr>
      <w:r>
        <w:t>Read Network Data (gas and electricity)</w:t>
      </w:r>
    </w:p>
    <w:p w14:paraId="40B0C786" w14:textId="23C817CD" w:rsidR="002C12CA" w:rsidRDefault="002C12CA" w:rsidP="002C12CA">
      <w:pPr>
        <w:pStyle w:val="ListParagraph"/>
      </w:pPr>
      <w:r>
        <w:t>Read active power import</w:t>
      </w:r>
    </w:p>
    <w:p w14:paraId="4E45E212" w14:textId="3759AC77" w:rsidR="002C12CA" w:rsidRDefault="002C12CA" w:rsidP="002C12CA">
      <w:pPr>
        <w:pStyle w:val="ListParagraph"/>
      </w:pPr>
      <w:r>
        <w:t>Voltage surveys</w:t>
      </w:r>
    </w:p>
    <w:p w14:paraId="3F44A7B7" w14:textId="6159C016" w:rsidR="007B6BEF" w:rsidRDefault="00FB0240" w:rsidP="002C12CA">
      <w:r>
        <w:t xml:space="preserve">Concerns were raised regarding the claimed accuracy of the reports produced by the DCC. It was </w:t>
      </w:r>
      <w:r w:rsidR="00A5165B">
        <w:t>stated</w:t>
      </w:r>
      <w:r>
        <w:t xml:space="preserve"> that there are discrepancies between how many Service Requests a DCC User sends compared to what is stated in the DCC reports. This can be as much as a 40,000 difference in Service Requests in each report. The DCC responded that the reports will undergo further refinement to bring the figures closer together.</w:t>
      </w:r>
      <w:r w:rsidR="00221A27">
        <w:t xml:space="preserve"> A Working Group member went further to state that the disparity in figures means that there is something </w:t>
      </w:r>
      <w:r w:rsidR="00582377">
        <w:t>fundamentally amiss with the DCC System which needs to be addressed.</w:t>
      </w:r>
    </w:p>
    <w:p w14:paraId="19FC557D" w14:textId="611BF763" w:rsidR="00FB0240" w:rsidRDefault="00FB0240" w:rsidP="002C12CA">
      <w:r>
        <w:t>The Working Group asked how DCC Users would provide input, and how this would differ from the forecasts they already produce.</w:t>
      </w:r>
      <w:r w:rsidR="00D40179">
        <w:t xml:space="preserve"> The DCC responded that this is to be discussed to understand what format and context DCC Users would be happy to provide. The Working Group replied that once agreed, there needs to be strict guidance on how this is executed. Members were concerned that providing input into the forecasts would not differ from the reports they already produce under SEC Section </w:t>
      </w:r>
      <w:r w:rsidR="00A5165B">
        <w:t>H ‘DCC Services’</w:t>
      </w:r>
      <w:r w:rsidR="00D40179">
        <w:t xml:space="preserve">. </w:t>
      </w:r>
      <w:r w:rsidR="00A5165B">
        <w:t xml:space="preserve">DCC Users currently allocate </w:t>
      </w:r>
      <w:r w:rsidR="00AC241A">
        <w:t>resources</w:t>
      </w:r>
      <w:r w:rsidR="00A5165B">
        <w:t xml:space="preserve"> to complete the quarterly forecasts and so</w:t>
      </w:r>
      <w:r w:rsidR="00AC241A">
        <w:t xml:space="preserve"> it must be clear </w:t>
      </w:r>
      <w:r w:rsidR="00A5165B">
        <w:t xml:space="preserve">if resource needs to be reallocated. </w:t>
      </w:r>
      <w:r w:rsidR="00D40179">
        <w:t xml:space="preserve">There </w:t>
      </w:r>
      <w:r w:rsidR="00A5165B">
        <w:t>must</w:t>
      </w:r>
      <w:r w:rsidR="00D40179">
        <w:t xml:space="preserve"> be a material benefit of removing the obligation on DCC Users providing their own forecasts.</w:t>
      </w:r>
    </w:p>
    <w:p w14:paraId="7DA890DF" w14:textId="5A4651C9" w:rsidR="00D40179" w:rsidRDefault="00D40179" w:rsidP="002C12CA">
      <w:r>
        <w:t xml:space="preserve">A Working Group member was more supportive of the modification, stating that removing the obligation results in less work for the DCC User to carry out, but would be happy to help to bolster </w:t>
      </w:r>
      <w:r>
        <w:lastRenderedPageBreak/>
        <w:t xml:space="preserve">forecast accuracy where needed. Another Working Group member stated that by the DCC taking the forecasting in house, </w:t>
      </w:r>
      <w:r w:rsidR="00B5592D">
        <w:t>the DCC will be responsible for any inaccuracies found.</w:t>
      </w:r>
    </w:p>
    <w:p w14:paraId="40BBDA39" w14:textId="01C1CA40" w:rsidR="00B5592D" w:rsidRDefault="00B5592D" w:rsidP="002C12CA">
      <w:r>
        <w:t>In terms of identifying the use of rarely used Service Requests, or ones that are not used at all, the Working Group commented that this is because businesses are not currently in a position to use them. However, the DCC User should inform the DCC when they are going to initiate the use of Service Requests that are currently thought of as ‘rarely used’ and ‘unused’. The Working Group want to know if this mechanism is to be an obligation or a ‘nice to have’ request.</w:t>
      </w:r>
    </w:p>
    <w:p w14:paraId="02789A86" w14:textId="56BC7C90" w:rsidR="00221A27" w:rsidRDefault="00221A27" w:rsidP="002C12CA">
      <w:r>
        <w:t>Questions were raised regarding the legal text. A member asked that as the DCC have already created the model, would this SEC Modification consist of a legal text only. The DCC responded that there would be no additional costs and confirmed the modification only requires legal text amendments.</w:t>
      </w:r>
    </w:p>
    <w:p w14:paraId="18037369" w14:textId="11BB73A9" w:rsidR="00582377" w:rsidRDefault="00582377" w:rsidP="002C12CA">
      <w:r>
        <w:t>The subject of Anomaly Detection Thresholds (ADTs) was raised as the current DCC User forecasts are used to calculate a DCC User’s volume of ADTs. The DCC confirmed that ADTs are outside the scope of this modification.</w:t>
      </w:r>
    </w:p>
    <w:p w14:paraId="566C5342" w14:textId="423ABEC2" w:rsidR="00405167" w:rsidRDefault="00405167" w:rsidP="002C12CA">
      <w:r>
        <w:t xml:space="preserve">A question was raised whether DCC Users would like to receive the forecast reports from the DCC. The need for this was questioned as </w:t>
      </w:r>
      <w:r w:rsidR="00A5165B">
        <w:t>it may not be necessary for the DCC to inform DCC Users how many Service Requests the</w:t>
      </w:r>
      <w:r w:rsidR="00AC241A">
        <w:t xml:space="preserve"> relevant DCC User</w:t>
      </w:r>
      <w:r w:rsidR="00A5165B">
        <w:t xml:space="preserve"> will send. This question will be included in the Refinement Consultation.</w:t>
      </w:r>
    </w:p>
    <w:p w14:paraId="063A2E38" w14:textId="50AB161E" w:rsidR="002C12CA" w:rsidRPr="00F85CE1" w:rsidRDefault="00AC241A" w:rsidP="002C12CA">
      <w:r>
        <w:t xml:space="preserve">The current </w:t>
      </w:r>
      <w:r w:rsidRPr="00405167">
        <w:t xml:space="preserve">SEC Section H ‘DCC Services’ </w:t>
      </w:r>
      <w:r>
        <w:t>legal text states that DCC User forecasts have to be accurate within +/-10%. The DCC stated that they are confident they can meet this level of accuracy with the new mechanism. A Working Group member commented that upon reviewing the MP116 draft legal text, there is still a reference to DCC Users (under H3.24). This will be removed ahead of the Refinement Consultation.</w:t>
      </w:r>
      <w:r>
        <w:t xml:space="preserve"> </w:t>
      </w:r>
      <w:r w:rsidR="007B6BEF">
        <w:t>The legal text will also place the obligation on the DCC to produce the reports at a give time (SEC Panel meetings). Once the amendments have been made, the modification will be brought back to the Working Group for further discussion, ahead of the Refinement Consultation.</w:t>
      </w:r>
    </w:p>
    <w:p w14:paraId="776BDF4E" w14:textId="77777777" w:rsidR="00490947" w:rsidRDefault="00490947" w:rsidP="00387635">
      <w:pPr>
        <w:pStyle w:val="Subtitle"/>
      </w:pPr>
      <w:r>
        <w:t>Next Steps</w:t>
      </w:r>
    </w:p>
    <w:p w14:paraId="0062A635" w14:textId="6CCCE1CD" w:rsidR="00490947" w:rsidRDefault="00490947" w:rsidP="00490947">
      <w:pPr>
        <w:rPr>
          <w:szCs w:val="20"/>
        </w:rPr>
      </w:pPr>
      <w:r>
        <w:rPr>
          <w:szCs w:val="20"/>
        </w:rPr>
        <w:t>The following action</w:t>
      </w:r>
      <w:r w:rsidR="000126A7">
        <w:rPr>
          <w:szCs w:val="20"/>
        </w:rPr>
        <w:t>s</w:t>
      </w:r>
      <w:r>
        <w:rPr>
          <w:szCs w:val="20"/>
        </w:rPr>
        <w:t xml:space="preserve"> </w:t>
      </w:r>
      <w:r w:rsidR="009949FA">
        <w:rPr>
          <w:szCs w:val="20"/>
        </w:rPr>
        <w:t xml:space="preserve">were </w:t>
      </w:r>
      <w:r>
        <w:rPr>
          <w:szCs w:val="20"/>
        </w:rPr>
        <w:t>recorded from the meeting:</w:t>
      </w:r>
    </w:p>
    <w:p w14:paraId="39F6CB07" w14:textId="4E3A17D6" w:rsidR="00D826AC" w:rsidRDefault="00E152A7" w:rsidP="00516EC5">
      <w:pPr>
        <w:pStyle w:val="ListParagraph"/>
      </w:pPr>
      <w:r>
        <w:t>DCC are to further refine the forecast models and report back to the OPSG and Working Group</w:t>
      </w:r>
    </w:p>
    <w:p w14:paraId="166917FE" w14:textId="6F39F31C" w:rsidR="00834C04" w:rsidRDefault="00834C04" w:rsidP="00516EC5">
      <w:pPr>
        <w:pStyle w:val="ListParagraph"/>
      </w:pPr>
      <w:r>
        <w:t xml:space="preserve">SECAS </w:t>
      </w:r>
      <w:r w:rsidR="00E152A7">
        <w:t>and the Proposer will complete a second draft of the legal text</w:t>
      </w:r>
    </w:p>
    <w:p w14:paraId="79A55309" w14:textId="213F1C13" w:rsidR="000F16D0" w:rsidRPr="003423F3" w:rsidRDefault="000F16D0" w:rsidP="00E152A7"/>
    <w:sectPr w:rsidR="000F16D0" w:rsidRPr="003423F3" w:rsidSect="00633F6B">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BD166" w14:textId="77777777" w:rsidR="00255929" w:rsidRDefault="00255929" w:rsidP="004F458B">
      <w:pPr>
        <w:spacing w:after="0" w:line="240" w:lineRule="auto"/>
      </w:pPr>
      <w:r>
        <w:separator/>
      </w:r>
    </w:p>
  </w:endnote>
  <w:endnote w:type="continuationSeparator" w:id="0">
    <w:p w14:paraId="2C145492" w14:textId="77777777" w:rsidR="00255929" w:rsidRDefault="00255929"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034"/>
      <w:gridCol w:w="2997"/>
    </w:tblGrid>
    <w:tr w:rsidR="00800AF2" w:rsidRPr="00633F6B" w14:paraId="28F8F56D" w14:textId="77777777" w:rsidTr="00481DA5">
      <w:trPr>
        <w:trHeight w:val="77"/>
      </w:trPr>
      <w:tc>
        <w:tcPr>
          <w:tcW w:w="2995" w:type="dxa"/>
        </w:tcPr>
        <w:p w14:paraId="2C947513" w14:textId="77777777" w:rsidR="00800AF2" w:rsidRPr="00633F6B" w:rsidRDefault="00800AF2" w:rsidP="000D492D">
          <w:pPr>
            <w:pStyle w:val="Footer"/>
            <w:rPr>
              <w:rFonts w:cs="Arial"/>
              <w:color w:val="595959" w:themeColor="text1" w:themeTint="A6"/>
              <w:sz w:val="16"/>
              <w:szCs w:val="16"/>
            </w:rPr>
          </w:pPr>
        </w:p>
      </w:tc>
      <w:tc>
        <w:tcPr>
          <w:tcW w:w="3034" w:type="dxa"/>
          <w:vMerge w:val="restart"/>
          <w:vAlign w:val="center"/>
        </w:tcPr>
        <w:p w14:paraId="565C2727" w14:textId="77777777" w:rsidR="00800AF2" w:rsidRPr="00633F6B" w:rsidRDefault="00B13710" w:rsidP="00B13710">
          <w:pPr>
            <w:pStyle w:val="Footer"/>
            <w:jc w:val="center"/>
            <w:rPr>
              <w:rFonts w:cs="Arial"/>
              <w:color w:val="595959" w:themeColor="text1" w:themeTint="A6"/>
              <w:sz w:val="16"/>
              <w:szCs w:val="16"/>
            </w:rPr>
          </w:pPr>
          <w:r>
            <w:rPr>
              <w:noProof/>
            </w:rPr>
            <w:drawing>
              <wp:inline distT="0" distB="0" distL="0" distR="0" wp14:anchorId="7B478782" wp14:editId="022673ED">
                <wp:extent cx="1170579" cy="6804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2997" w:type="dxa"/>
        </w:tcPr>
        <w:p w14:paraId="2856E76C" w14:textId="77777777" w:rsidR="00800AF2" w:rsidRPr="00633F6B" w:rsidRDefault="00800AF2" w:rsidP="00633F6B">
          <w:pPr>
            <w:pStyle w:val="Footer"/>
            <w:jc w:val="right"/>
            <w:rPr>
              <w:rFonts w:cs="Arial"/>
              <w:color w:val="595959" w:themeColor="text1" w:themeTint="A6"/>
              <w:sz w:val="16"/>
              <w:szCs w:val="16"/>
            </w:rPr>
          </w:pPr>
        </w:p>
      </w:tc>
    </w:tr>
    <w:tr w:rsidR="00800AF2" w:rsidRPr="00633F6B" w14:paraId="0F18E0D4" w14:textId="77777777" w:rsidTr="00800AF2">
      <w:trPr>
        <w:trHeight w:val="540"/>
      </w:trPr>
      <w:tc>
        <w:tcPr>
          <w:tcW w:w="2995" w:type="dxa"/>
        </w:tcPr>
        <w:p w14:paraId="71EC0C3E" w14:textId="1AB12CAD" w:rsidR="00800AF2" w:rsidRDefault="00800AF2" w:rsidP="000D492D">
          <w:pPr>
            <w:pStyle w:val="Footer"/>
            <w:rPr>
              <w:rFonts w:cs="Arial"/>
              <w:color w:val="595959" w:themeColor="text1" w:themeTint="A6"/>
              <w:sz w:val="16"/>
              <w:szCs w:val="16"/>
            </w:rPr>
          </w:pPr>
          <w:r>
            <w:rPr>
              <w:rFonts w:cs="Arial"/>
              <w:color w:val="595959" w:themeColor="text1" w:themeTint="A6"/>
              <w:sz w:val="16"/>
              <w:szCs w:val="16"/>
            </w:rPr>
            <w:t>MP</w:t>
          </w:r>
          <w:r w:rsidR="00FD6A99">
            <w:rPr>
              <w:rFonts w:cs="Arial"/>
              <w:color w:val="595959" w:themeColor="text1" w:themeTint="A6"/>
              <w:sz w:val="16"/>
              <w:szCs w:val="16"/>
            </w:rPr>
            <w:t>1</w:t>
          </w:r>
          <w:r w:rsidR="00E6727F">
            <w:rPr>
              <w:rFonts w:cs="Arial"/>
              <w:color w:val="595959" w:themeColor="text1" w:themeTint="A6"/>
              <w:sz w:val="16"/>
              <w:szCs w:val="16"/>
            </w:rPr>
            <w:t>16</w:t>
          </w:r>
          <w:r>
            <w:rPr>
              <w:rFonts w:cs="Arial"/>
              <w:color w:val="595959" w:themeColor="text1" w:themeTint="A6"/>
              <w:sz w:val="16"/>
              <w:szCs w:val="16"/>
            </w:rPr>
            <w:t xml:space="preserve"> </w:t>
          </w:r>
          <w:r w:rsidR="00B13710">
            <w:rPr>
              <w:rFonts w:cs="Arial"/>
              <w:color w:val="595959" w:themeColor="text1" w:themeTint="A6"/>
              <w:sz w:val="16"/>
              <w:szCs w:val="16"/>
            </w:rPr>
            <w:t xml:space="preserve">– </w:t>
          </w:r>
          <w:r w:rsidR="00E6727F">
            <w:rPr>
              <w:rFonts w:cs="Arial"/>
              <w:color w:val="595959" w:themeColor="text1" w:themeTint="A6"/>
              <w:sz w:val="16"/>
              <w:szCs w:val="16"/>
            </w:rPr>
            <w:t>December</w:t>
          </w:r>
          <w:r w:rsidR="00F8182D">
            <w:rPr>
              <w:rFonts w:cs="Arial"/>
              <w:color w:val="595959" w:themeColor="text1" w:themeTint="A6"/>
              <w:sz w:val="16"/>
              <w:szCs w:val="16"/>
            </w:rPr>
            <w:t xml:space="preserve"> 2020 </w:t>
          </w:r>
          <w:r>
            <w:rPr>
              <w:rFonts w:cs="Arial"/>
              <w:color w:val="595959" w:themeColor="text1" w:themeTint="A6"/>
              <w:sz w:val="16"/>
              <w:szCs w:val="16"/>
            </w:rPr>
            <w:t xml:space="preserve">Working Group </w:t>
          </w:r>
          <w:r w:rsidR="00B13710">
            <w:rPr>
              <w:rFonts w:cs="Arial"/>
              <w:color w:val="595959" w:themeColor="text1" w:themeTint="A6"/>
              <w:sz w:val="16"/>
              <w:szCs w:val="16"/>
            </w:rPr>
            <w:t>m</w:t>
          </w:r>
          <w:r>
            <w:rPr>
              <w:rFonts w:cs="Arial"/>
              <w:color w:val="595959" w:themeColor="text1" w:themeTint="A6"/>
              <w:sz w:val="16"/>
              <w:szCs w:val="16"/>
            </w:rPr>
            <w:t xml:space="preserve">eeting </w:t>
          </w:r>
          <w:r w:rsidR="00B13710">
            <w:rPr>
              <w:rFonts w:cs="Arial"/>
              <w:color w:val="595959" w:themeColor="text1" w:themeTint="A6"/>
              <w:sz w:val="16"/>
              <w:szCs w:val="16"/>
            </w:rPr>
            <w:t>s</w:t>
          </w:r>
          <w:r>
            <w:rPr>
              <w:rFonts w:cs="Arial"/>
              <w:color w:val="595959" w:themeColor="text1" w:themeTint="A6"/>
              <w:sz w:val="16"/>
              <w:szCs w:val="16"/>
            </w:rPr>
            <w:t>ummary</w:t>
          </w:r>
        </w:p>
      </w:tc>
      <w:tc>
        <w:tcPr>
          <w:tcW w:w="3034" w:type="dxa"/>
          <w:vMerge/>
        </w:tcPr>
        <w:p w14:paraId="079EA8D4" w14:textId="77777777" w:rsidR="00800AF2" w:rsidRDefault="00800AF2" w:rsidP="00633F6B">
          <w:pPr>
            <w:pStyle w:val="Footer"/>
            <w:jc w:val="center"/>
            <w:rPr>
              <w:noProof/>
              <w:lang w:eastAsia="en-GB"/>
            </w:rPr>
          </w:pPr>
        </w:p>
      </w:tc>
      <w:tc>
        <w:tcPr>
          <w:tcW w:w="2997" w:type="dxa"/>
        </w:tcPr>
        <w:p w14:paraId="6CBF7BB2" w14:textId="77777777" w:rsidR="00800AF2" w:rsidRDefault="00800AF2" w:rsidP="00800AF2">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color w:val="595959" w:themeColor="text1" w:themeTint="A6"/>
              <w:sz w:val="16"/>
              <w:szCs w:val="16"/>
            </w:rPr>
            <w:t>1</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color w:val="595959" w:themeColor="text1" w:themeTint="A6"/>
              <w:sz w:val="16"/>
              <w:szCs w:val="16"/>
            </w:rPr>
            <w:t>1</w:t>
          </w:r>
          <w:r w:rsidRPr="00633F6B">
            <w:rPr>
              <w:rFonts w:cs="Arial"/>
              <w:color w:val="595959" w:themeColor="text1" w:themeTint="A6"/>
              <w:sz w:val="16"/>
              <w:szCs w:val="16"/>
            </w:rPr>
            <w:fldChar w:fldCharType="end"/>
          </w:r>
        </w:p>
        <w:p w14:paraId="08F93BBA" w14:textId="77777777" w:rsidR="00800AF2" w:rsidRDefault="00800AF2" w:rsidP="00800AF2">
          <w:pPr>
            <w:pStyle w:val="Footer"/>
            <w:jc w:val="right"/>
            <w:rPr>
              <w:rFonts w:cs="Arial"/>
              <w:color w:val="595959" w:themeColor="text1" w:themeTint="A6"/>
              <w:sz w:val="16"/>
              <w:szCs w:val="16"/>
            </w:rPr>
          </w:pPr>
        </w:p>
        <w:p w14:paraId="5C74FCF3" w14:textId="77777777" w:rsidR="00800AF2" w:rsidRPr="00633F6B" w:rsidRDefault="00800AF2" w:rsidP="00800AF2">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3423F3">
            <w:rPr>
              <w:rFonts w:cs="Arial"/>
              <w:b/>
              <w:color w:val="auto"/>
              <w:sz w:val="16"/>
              <w:szCs w:val="16"/>
            </w:rPr>
            <w:t>White</w:t>
          </w:r>
        </w:p>
      </w:tc>
    </w:tr>
  </w:tbl>
  <w:p w14:paraId="4875E3BB" w14:textId="77777777" w:rsidR="00DB0807" w:rsidRPr="00633F6B" w:rsidRDefault="00DB0807"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66AAF" w14:textId="77777777" w:rsidR="00255929" w:rsidRDefault="00255929" w:rsidP="004F458B">
      <w:pPr>
        <w:spacing w:after="0" w:line="240" w:lineRule="auto"/>
      </w:pPr>
      <w:r>
        <w:separator/>
      </w:r>
    </w:p>
  </w:footnote>
  <w:footnote w:type="continuationSeparator" w:id="0">
    <w:p w14:paraId="3501188B" w14:textId="77777777" w:rsidR="00255929" w:rsidRDefault="00255929"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39519" w14:textId="77777777" w:rsidR="003E558E" w:rsidRDefault="003E558E" w:rsidP="003E558E">
    <w:pPr>
      <w:pStyle w:val="Header"/>
      <w:jc w:val="right"/>
    </w:pPr>
    <w:r w:rsidRPr="003E558E">
      <w:rPr>
        <w:noProof/>
        <w:lang w:eastAsia="en-GB"/>
      </w:rPr>
      <w:drawing>
        <wp:inline distT="0" distB="0" distL="0" distR="0" wp14:anchorId="182DE48E" wp14:editId="33A5D0C9">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61751B"/>
    <w:multiLevelType w:val="hybridMultilevel"/>
    <w:tmpl w:val="D676EAF2"/>
    <w:lvl w:ilvl="0" w:tplc="101C79B2">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20731"/>
    <w:multiLevelType w:val="hybridMultilevel"/>
    <w:tmpl w:val="E6EEF080"/>
    <w:lvl w:ilvl="0" w:tplc="16BA518A">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64DFF"/>
    <w:multiLevelType w:val="hybridMultilevel"/>
    <w:tmpl w:val="EF68074A"/>
    <w:lvl w:ilvl="0" w:tplc="42529A7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835BD"/>
    <w:multiLevelType w:val="hybridMultilevel"/>
    <w:tmpl w:val="B3DC7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num w:numId="1">
    <w:abstractNumId w:val="3"/>
  </w:num>
  <w:num w:numId="2">
    <w:abstractNumId w:val="1"/>
  </w:num>
  <w:num w:numId="3">
    <w:abstractNumId w:val="2"/>
  </w:num>
  <w:num w:numId="4">
    <w:abstractNumId w:val="5"/>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29"/>
    <w:rsid w:val="000055AC"/>
    <w:rsid w:val="000126A7"/>
    <w:rsid w:val="00017658"/>
    <w:rsid w:val="00020BA4"/>
    <w:rsid w:val="000258B3"/>
    <w:rsid w:val="00055297"/>
    <w:rsid w:val="00057CF0"/>
    <w:rsid w:val="000622C0"/>
    <w:rsid w:val="00067AFA"/>
    <w:rsid w:val="00075828"/>
    <w:rsid w:val="00091612"/>
    <w:rsid w:val="000B30A4"/>
    <w:rsid w:val="000B4FAB"/>
    <w:rsid w:val="000C423C"/>
    <w:rsid w:val="000C49C1"/>
    <w:rsid w:val="000C5748"/>
    <w:rsid w:val="000D0828"/>
    <w:rsid w:val="000D492D"/>
    <w:rsid w:val="000D7BCC"/>
    <w:rsid w:val="000E1170"/>
    <w:rsid w:val="000E330B"/>
    <w:rsid w:val="000E661D"/>
    <w:rsid w:val="000E6A3C"/>
    <w:rsid w:val="000E6DD9"/>
    <w:rsid w:val="000F16D0"/>
    <w:rsid w:val="000F3436"/>
    <w:rsid w:val="000F4376"/>
    <w:rsid w:val="00102237"/>
    <w:rsid w:val="0010448B"/>
    <w:rsid w:val="00152E20"/>
    <w:rsid w:val="0015743D"/>
    <w:rsid w:val="001636D8"/>
    <w:rsid w:val="001855DA"/>
    <w:rsid w:val="00192FAC"/>
    <w:rsid w:val="00193AA5"/>
    <w:rsid w:val="00196A93"/>
    <w:rsid w:val="001C32E8"/>
    <w:rsid w:val="001C63F9"/>
    <w:rsid w:val="001E3A8A"/>
    <w:rsid w:val="001E4249"/>
    <w:rsid w:val="001E5C72"/>
    <w:rsid w:val="00221A27"/>
    <w:rsid w:val="002357F7"/>
    <w:rsid w:val="0024177C"/>
    <w:rsid w:val="00251BB8"/>
    <w:rsid w:val="00251E29"/>
    <w:rsid w:val="00255929"/>
    <w:rsid w:val="002636BA"/>
    <w:rsid w:val="00267F7B"/>
    <w:rsid w:val="00283D8C"/>
    <w:rsid w:val="002A0870"/>
    <w:rsid w:val="002A46ED"/>
    <w:rsid w:val="002A76CA"/>
    <w:rsid w:val="002C12CA"/>
    <w:rsid w:val="002E0EC9"/>
    <w:rsid w:val="002E13CE"/>
    <w:rsid w:val="002F1749"/>
    <w:rsid w:val="002F2338"/>
    <w:rsid w:val="002F39BD"/>
    <w:rsid w:val="003025E2"/>
    <w:rsid w:val="003029F3"/>
    <w:rsid w:val="00306C4B"/>
    <w:rsid w:val="003103AF"/>
    <w:rsid w:val="00326FB7"/>
    <w:rsid w:val="00331B41"/>
    <w:rsid w:val="00332631"/>
    <w:rsid w:val="003423F3"/>
    <w:rsid w:val="003425F2"/>
    <w:rsid w:val="00347F6A"/>
    <w:rsid w:val="00387635"/>
    <w:rsid w:val="00391A04"/>
    <w:rsid w:val="00391B14"/>
    <w:rsid w:val="003935E6"/>
    <w:rsid w:val="003A556D"/>
    <w:rsid w:val="003B3657"/>
    <w:rsid w:val="003C08F7"/>
    <w:rsid w:val="003C1DF0"/>
    <w:rsid w:val="003D2EA8"/>
    <w:rsid w:val="003D4B63"/>
    <w:rsid w:val="003E558E"/>
    <w:rsid w:val="00404C8C"/>
    <w:rsid w:val="00405167"/>
    <w:rsid w:val="004170C6"/>
    <w:rsid w:val="00420A00"/>
    <w:rsid w:val="00422CAF"/>
    <w:rsid w:val="00423EC3"/>
    <w:rsid w:val="0043667E"/>
    <w:rsid w:val="00441728"/>
    <w:rsid w:val="00441D82"/>
    <w:rsid w:val="00463094"/>
    <w:rsid w:val="00471CC6"/>
    <w:rsid w:val="00481DA5"/>
    <w:rsid w:val="00485DC4"/>
    <w:rsid w:val="00490947"/>
    <w:rsid w:val="004D00F1"/>
    <w:rsid w:val="004D380A"/>
    <w:rsid w:val="004E1DB7"/>
    <w:rsid w:val="004F458B"/>
    <w:rsid w:val="00507273"/>
    <w:rsid w:val="00516EC5"/>
    <w:rsid w:val="0052765B"/>
    <w:rsid w:val="00530099"/>
    <w:rsid w:val="005334EF"/>
    <w:rsid w:val="00551CC4"/>
    <w:rsid w:val="00552455"/>
    <w:rsid w:val="005613A7"/>
    <w:rsid w:val="00564EBA"/>
    <w:rsid w:val="00571E51"/>
    <w:rsid w:val="005776F4"/>
    <w:rsid w:val="005778E5"/>
    <w:rsid w:val="00582377"/>
    <w:rsid w:val="00583EC5"/>
    <w:rsid w:val="00585F21"/>
    <w:rsid w:val="0059197A"/>
    <w:rsid w:val="00592625"/>
    <w:rsid w:val="00594818"/>
    <w:rsid w:val="005E0302"/>
    <w:rsid w:val="005F65BB"/>
    <w:rsid w:val="0060781C"/>
    <w:rsid w:val="00620DCD"/>
    <w:rsid w:val="006240A4"/>
    <w:rsid w:val="006256DB"/>
    <w:rsid w:val="00633F6B"/>
    <w:rsid w:val="0064797F"/>
    <w:rsid w:val="006546FD"/>
    <w:rsid w:val="0065625F"/>
    <w:rsid w:val="00661BA9"/>
    <w:rsid w:val="0068082B"/>
    <w:rsid w:val="00682B00"/>
    <w:rsid w:val="0069226B"/>
    <w:rsid w:val="006B0D39"/>
    <w:rsid w:val="006B1076"/>
    <w:rsid w:val="006B1B0C"/>
    <w:rsid w:val="006C637C"/>
    <w:rsid w:val="006D1654"/>
    <w:rsid w:val="006D2593"/>
    <w:rsid w:val="006D37C5"/>
    <w:rsid w:val="006D3E3A"/>
    <w:rsid w:val="006E5908"/>
    <w:rsid w:val="00712849"/>
    <w:rsid w:val="00744B12"/>
    <w:rsid w:val="00745CA5"/>
    <w:rsid w:val="00747040"/>
    <w:rsid w:val="00761B8A"/>
    <w:rsid w:val="00783DBF"/>
    <w:rsid w:val="00793FD4"/>
    <w:rsid w:val="007A4826"/>
    <w:rsid w:val="007A5CA3"/>
    <w:rsid w:val="007B44E5"/>
    <w:rsid w:val="007B4ADF"/>
    <w:rsid w:val="007B5EE6"/>
    <w:rsid w:val="007B6A3F"/>
    <w:rsid w:val="007B6BEF"/>
    <w:rsid w:val="007E35FF"/>
    <w:rsid w:val="007E58E4"/>
    <w:rsid w:val="007E6ECB"/>
    <w:rsid w:val="00800AF2"/>
    <w:rsid w:val="00801794"/>
    <w:rsid w:val="00801B5E"/>
    <w:rsid w:val="00810F76"/>
    <w:rsid w:val="00811994"/>
    <w:rsid w:val="00834C04"/>
    <w:rsid w:val="00853361"/>
    <w:rsid w:val="00855057"/>
    <w:rsid w:val="0086220C"/>
    <w:rsid w:val="00862303"/>
    <w:rsid w:val="008738E4"/>
    <w:rsid w:val="00881CA8"/>
    <w:rsid w:val="0089731C"/>
    <w:rsid w:val="008A01C2"/>
    <w:rsid w:val="008C0612"/>
    <w:rsid w:val="008C7A8F"/>
    <w:rsid w:val="00901A0A"/>
    <w:rsid w:val="009153F2"/>
    <w:rsid w:val="00917320"/>
    <w:rsid w:val="009301EC"/>
    <w:rsid w:val="00962B86"/>
    <w:rsid w:val="00964CD2"/>
    <w:rsid w:val="00971D14"/>
    <w:rsid w:val="00991C2D"/>
    <w:rsid w:val="009931E7"/>
    <w:rsid w:val="009949FA"/>
    <w:rsid w:val="009A7772"/>
    <w:rsid w:val="009B4C21"/>
    <w:rsid w:val="009C2393"/>
    <w:rsid w:val="009C5BAE"/>
    <w:rsid w:val="009C6ABA"/>
    <w:rsid w:val="009D04BA"/>
    <w:rsid w:val="009D56D8"/>
    <w:rsid w:val="009E14DA"/>
    <w:rsid w:val="00A07DC7"/>
    <w:rsid w:val="00A1169C"/>
    <w:rsid w:val="00A16AF3"/>
    <w:rsid w:val="00A441DE"/>
    <w:rsid w:val="00A50332"/>
    <w:rsid w:val="00A5165B"/>
    <w:rsid w:val="00A54644"/>
    <w:rsid w:val="00A72808"/>
    <w:rsid w:val="00A75FD0"/>
    <w:rsid w:val="00A81107"/>
    <w:rsid w:val="00A858CC"/>
    <w:rsid w:val="00A85BC8"/>
    <w:rsid w:val="00A90A90"/>
    <w:rsid w:val="00A94F15"/>
    <w:rsid w:val="00A95933"/>
    <w:rsid w:val="00AC1347"/>
    <w:rsid w:val="00AC241A"/>
    <w:rsid w:val="00AD0B74"/>
    <w:rsid w:val="00AD70B0"/>
    <w:rsid w:val="00AF1834"/>
    <w:rsid w:val="00AF7F93"/>
    <w:rsid w:val="00B02B31"/>
    <w:rsid w:val="00B13710"/>
    <w:rsid w:val="00B13A0A"/>
    <w:rsid w:val="00B242DE"/>
    <w:rsid w:val="00B40A97"/>
    <w:rsid w:val="00B411F9"/>
    <w:rsid w:val="00B5592D"/>
    <w:rsid w:val="00B80B19"/>
    <w:rsid w:val="00B943CC"/>
    <w:rsid w:val="00BA2646"/>
    <w:rsid w:val="00BA3AD6"/>
    <w:rsid w:val="00BA7A76"/>
    <w:rsid w:val="00BC2A21"/>
    <w:rsid w:val="00BD1C03"/>
    <w:rsid w:val="00BD2ADD"/>
    <w:rsid w:val="00BD70A6"/>
    <w:rsid w:val="00BD742D"/>
    <w:rsid w:val="00BE1829"/>
    <w:rsid w:val="00BF6FEE"/>
    <w:rsid w:val="00C401C6"/>
    <w:rsid w:val="00C420BA"/>
    <w:rsid w:val="00C43704"/>
    <w:rsid w:val="00C454EA"/>
    <w:rsid w:val="00C46C5F"/>
    <w:rsid w:val="00C92D9F"/>
    <w:rsid w:val="00CA1D8C"/>
    <w:rsid w:val="00CB77C9"/>
    <w:rsid w:val="00CC5FB4"/>
    <w:rsid w:val="00CD7753"/>
    <w:rsid w:val="00CE018A"/>
    <w:rsid w:val="00CF3BEF"/>
    <w:rsid w:val="00CF6AA5"/>
    <w:rsid w:val="00D15D55"/>
    <w:rsid w:val="00D160AF"/>
    <w:rsid w:val="00D27E31"/>
    <w:rsid w:val="00D31291"/>
    <w:rsid w:val="00D356AD"/>
    <w:rsid w:val="00D40179"/>
    <w:rsid w:val="00D423AF"/>
    <w:rsid w:val="00D47D4E"/>
    <w:rsid w:val="00D63701"/>
    <w:rsid w:val="00D65365"/>
    <w:rsid w:val="00D70ECB"/>
    <w:rsid w:val="00D826AC"/>
    <w:rsid w:val="00D9647C"/>
    <w:rsid w:val="00DA1B1A"/>
    <w:rsid w:val="00DB0807"/>
    <w:rsid w:val="00DB500E"/>
    <w:rsid w:val="00DC1474"/>
    <w:rsid w:val="00DC4326"/>
    <w:rsid w:val="00DD1A40"/>
    <w:rsid w:val="00DD7189"/>
    <w:rsid w:val="00DE1CF2"/>
    <w:rsid w:val="00DE5C32"/>
    <w:rsid w:val="00DF7D1A"/>
    <w:rsid w:val="00E10640"/>
    <w:rsid w:val="00E1288E"/>
    <w:rsid w:val="00E152A7"/>
    <w:rsid w:val="00E1536A"/>
    <w:rsid w:val="00E24571"/>
    <w:rsid w:val="00E3126E"/>
    <w:rsid w:val="00E31D79"/>
    <w:rsid w:val="00E35AA8"/>
    <w:rsid w:val="00E42FFB"/>
    <w:rsid w:val="00E4508B"/>
    <w:rsid w:val="00E454BA"/>
    <w:rsid w:val="00E47F32"/>
    <w:rsid w:val="00E5727E"/>
    <w:rsid w:val="00E62969"/>
    <w:rsid w:val="00E6727F"/>
    <w:rsid w:val="00E84A70"/>
    <w:rsid w:val="00E84C1D"/>
    <w:rsid w:val="00E91C2A"/>
    <w:rsid w:val="00E9733A"/>
    <w:rsid w:val="00EA6D48"/>
    <w:rsid w:val="00EB17D8"/>
    <w:rsid w:val="00EB767D"/>
    <w:rsid w:val="00ED0E2E"/>
    <w:rsid w:val="00ED15FD"/>
    <w:rsid w:val="00ED64C8"/>
    <w:rsid w:val="00EE33BF"/>
    <w:rsid w:val="00F0008C"/>
    <w:rsid w:val="00F3046D"/>
    <w:rsid w:val="00F43C74"/>
    <w:rsid w:val="00F47D15"/>
    <w:rsid w:val="00F57FE2"/>
    <w:rsid w:val="00F635A3"/>
    <w:rsid w:val="00F76EC5"/>
    <w:rsid w:val="00F8182D"/>
    <w:rsid w:val="00F85CE1"/>
    <w:rsid w:val="00FB0240"/>
    <w:rsid w:val="00FC067E"/>
    <w:rsid w:val="00FC5CC6"/>
    <w:rsid w:val="00FD1ACC"/>
    <w:rsid w:val="00FD5A59"/>
    <w:rsid w:val="00FD6A99"/>
    <w:rsid w:val="00FE19A5"/>
    <w:rsid w:val="00FF0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1745116"/>
  <w15:docId w15:val="{0D1332B5-571F-43E5-94C3-43F081D2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C Paper Body"/>
    <w:qFormat/>
    <w:rsid w:val="00B13710"/>
    <w:pPr>
      <w:spacing w:after="120"/>
    </w:pPr>
    <w:rPr>
      <w:rFonts w:ascii="Arial" w:hAnsi="Arial"/>
      <w:color w:val="404040" w:themeColor="text1" w:themeTint="BF"/>
      <w:sz w:val="20"/>
    </w:rPr>
  </w:style>
  <w:style w:type="paragraph" w:styleId="Heading1">
    <w:name w:val="heading 1"/>
    <w:basedOn w:val="Normal"/>
    <w:next w:val="Normal"/>
    <w:link w:val="Heading1Char"/>
    <w:uiPriority w:val="9"/>
    <w:rsid w:val="000D0828"/>
    <w:pPr>
      <w:keepNext/>
      <w:keepLines/>
      <w:numPr>
        <w:numId w:val="1"/>
      </w:numPr>
      <w:spacing w:before="480" w:after="360"/>
      <w:ind w:left="357" w:hanging="35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0D0828"/>
    <w:pPr>
      <w:keepNext/>
      <w:keepLines/>
      <w:numPr>
        <w:numId w:val="2"/>
      </w:numPr>
      <w:spacing w:before="120"/>
      <w:ind w:left="357" w:hanging="357"/>
      <w:outlineLvl w:val="1"/>
    </w:pPr>
    <w:rPr>
      <w:rFonts w:eastAsiaTheme="majorEastAsia" w:cstheme="majorBidi"/>
      <w:b/>
      <w:bCs/>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basedOn w:val="DefaultParagraphFont"/>
    <w:link w:val="Heading1"/>
    <w:uiPriority w:val="9"/>
    <w:rsid w:val="000D0828"/>
    <w:rPr>
      <w:rFonts w:ascii="Arial" w:eastAsiaTheme="majorEastAsia" w:hAnsi="Arial" w:cstheme="majorBidi"/>
      <w:b/>
      <w:bCs/>
      <w:color w:val="404040" w:themeColor="text1" w:themeTint="BF"/>
      <w:sz w:val="28"/>
      <w:szCs w:val="28"/>
    </w:rPr>
  </w:style>
  <w:style w:type="character" w:customStyle="1" w:styleId="Heading2Char">
    <w:name w:val="Heading 2 Char"/>
    <w:basedOn w:val="DefaultParagraphFont"/>
    <w:link w:val="Heading2"/>
    <w:uiPriority w:val="9"/>
    <w:rsid w:val="000D0828"/>
    <w:rPr>
      <w:rFonts w:ascii="Arial" w:eastAsiaTheme="majorEastAsia" w:hAnsi="Arial" w:cstheme="majorBidi"/>
      <w:b/>
      <w:bCs/>
      <w:color w:val="404040" w:themeColor="text1" w:themeTint="BF"/>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Heading"/>
    <w:basedOn w:val="Normal"/>
    <w:next w:val="Normal"/>
    <w:link w:val="SubtitleChar"/>
    <w:autoRedefine/>
    <w:uiPriority w:val="11"/>
    <w:qFormat/>
    <w:rsid w:val="00387635"/>
    <w:pPr>
      <w:keepNext/>
      <w:spacing w:before="480"/>
    </w:pPr>
    <w:rPr>
      <w:rFonts w:eastAsiaTheme="majorEastAsia" w:cstheme="majorBidi"/>
      <w:b/>
      <w:iCs/>
      <w:spacing w:val="15"/>
      <w:sz w:val="24"/>
      <w:szCs w:val="24"/>
    </w:rPr>
  </w:style>
  <w:style w:type="character" w:customStyle="1" w:styleId="SubtitleChar">
    <w:name w:val="Subtitle Char"/>
    <w:aliases w:val="Heading Char"/>
    <w:basedOn w:val="DefaultParagraphFont"/>
    <w:link w:val="Subtitle"/>
    <w:uiPriority w:val="11"/>
    <w:rsid w:val="00387635"/>
    <w:rPr>
      <w:rFonts w:ascii="Arial" w:eastAsiaTheme="majorEastAsia" w:hAnsi="Arial" w:cstheme="majorBidi"/>
      <w:b/>
      <w:iCs/>
      <w:color w:val="404040" w:themeColor="text1" w:themeTint="BF"/>
      <w:spacing w:val="15"/>
      <w:sz w:val="24"/>
      <w:szCs w:val="24"/>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SEC Bullet Point,Dot pt,No Spacing1,List Paragraph Char Char Char,Indicator Text,Numbered Para 1,List Paragraph1,Bullet 1,Bullet Points,MAIN CONTENT,List Paragraph12,List Para,Bullet text"/>
    <w:basedOn w:val="Normal"/>
    <w:link w:val="ListParagraphChar"/>
    <w:qFormat/>
    <w:rsid w:val="00EE33BF"/>
    <w:pPr>
      <w:numPr>
        <w:numId w:val="3"/>
      </w:numPr>
    </w:pPr>
  </w:style>
  <w:style w:type="paragraph" w:customStyle="1" w:styleId="SECPaperTitle">
    <w:name w:val="SEC Paper Title"/>
    <w:basedOn w:val="Title"/>
    <w:link w:val="SECPaperTitleChar"/>
    <w:qFormat/>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4"/>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qFormat/>
    <w:rsid w:val="00267F7B"/>
    <w:pPr>
      <w:ind w:left="709" w:hanging="709"/>
      <w:jc w:val="right"/>
    </w:pPr>
    <w:rPr>
      <w:i/>
    </w:rPr>
  </w:style>
  <w:style w:type="paragraph" w:customStyle="1" w:styleId="Subheading">
    <w:name w:val="Subheading"/>
    <w:basedOn w:val="Subtitle"/>
    <w:next w:val="Normal"/>
    <w:qFormat/>
    <w:rsid w:val="00F57FE2"/>
    <w:pPr>
      <w:numPr>
        <w:ilvl w:val="1"/>
      </w:numPr>
      <w:spacing w:before="0"/>
    </w:pPr>
    <w:rPr>
      <w:sz w:val="20"/>
    </w:rPr>
  </w:style>
  <w:style w:type="numbering" w:customStyle="1" w:styleId="Subtitles">
    <w:name w:val="Subtitles"/>
    <w:uiPriority w:val="99"/>
    <w:rsid w:val="00A75FD0"/>
    <w:pPr>
      <w:numPr>
        <w:numId w:val="5"/>
      </w:numPr>
    </w:pPr>
  </w:style>
  <w:style w:type="paragraph" w:customStyle="1" w:styleId="TableHeading">
    <w:name w:val="Table Heading"/>
    <w:basedOn w:val="Normal"/>
    <w:link w:val="TableHeadingChar"/>
    <w:qFormat/>
    <w:rsid w:val="003C08F7"/>
    <w:pPr>
      <w:spacing w:after="0" w:line="240" w:lineRule="auto"/>
      <w:jc w:val="center"/>
    </w:pPr>
    <w:rPr>
      <w:rFonts w:eastAsiaTheme="minorEastAsia" w:cs="Arial"/>
      <w:b/>
      <w:color w:val="FFFFFF" w:themeColor="background1"/>
      <w:sz w:val="22"/>
      <w:lang w:eastAsia="en-GB"/>
    </w:rPr>
  </w:style>
  <w:style w:type="character" w:customStyle="1" w:styleId="TableHeadingChar">
    <w:name w:val="Table Heading Char"/>
    <w:basedOn w:val="DefaultParagraphFont"/>
    <w:link w:val="TableHeading"/>
    <w:rsid w:val="003C08F7"/>
    <w:rPr>
      <w:rFonts w:ascii="Arial" w:eastAsiaTheme="minorEastAsia" w:hAnsi="Arial" w:cs="Arial"/>
      <w:b/>
      <w:color w:val="FFFFFF" w:themeColor="background1"/>
      <w:lang w:eastAsia="en-GB"/>
    </w:rPr>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basedOn w:val="DefaultParagraphFont"/>
    <w:link w:val="ListParagraph"/>
    <w:qFormat/>
    <w:locked/>
    <w:rsid w:val="003C08F7"/>
    <w:rPr>
      <w:rFonts w:ascii="Arial" w:hAnsi="Arial"/>
      <w:color w:val="404040" w:themeColor="text1" w:themeTint="BF"/>
      <w:sz w:val="20"/>
    </w:rPr>
  </w:style>
  <w:style w:type="table" w:customStyle="1" w:styleId="TableGrid1">
    <w:name w:val="Table Grid1"/>
    <w:basedOn w:val="TableNormal"/>
    <w:uiPriority w:val="59"/>
    <w:rsid w:val="003C08F7"/>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710"/>
    <w:rPr>
      <w:color w:val="0563C1"/>
      <w:u w:val="single"/>
    </w:rPr>
  </w:style>
  <w:style w:type="character" w:styleId="CommentReference">
    <w:name w:val="annotation reference"/>
    <w:basedOn w:val="DefaultParagraphFont"/>
    <w:uiPriority w:val="99"/>
    <w:semiHidden/>
    <w:unhideWhenUsed/>
    <w:rsid w:val="00810F76"/>
    <w:rPr>
      <w:sz w:val="16"/>
      <w:szCs w:val="16"/>
    </w:rPr>
  </w:style>
  <w:style w:type="paragraph" w:styleId="CommentText">
    <w:name w:val="annotation text"/>
    <w:basedOn w:val="Normal"/>
    <w:link w:val="CommentTextChar"/>
    <w:uiPriority w:val="99"/>
    <w:semiHidden/>
    <w:unhideWhenUsed/>
    <w:rsid w:val="00810F76"/>
    <w:pPr>
      <w:spacing w:line="240" w:lineRule="auto"/>
    </w:pPr>
    <w:rPr>
      <w:szCs w:val="20"/>
    </w:rPr>
  </w:style>
  <w:style w:type="character" w:customStyle="1" w:styleId="CommentTextChar">
    <w:name w:val="Comment Text Char"/>
    <w:basedOn w:val="DefaultParagraphFont"/>
    <w:link w:val="CommentText"/>
    <w:uiPriority w:val="99"/>
    <w:semiHidden/>
    <w:rsid w:val="00810F76"/>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810F76"/>
    <w:rPr>
      <w:b/>
      <w:bCs/>
    </w:rPr>
  </w:style>
  <w:style w:type="character" w:customStyle="1" w:styleId="CommentSubjectChar">
    <w:name w:val="Comment Subject Char"/>
    <w:basedOn w:val="CommentTextChar"/>
    <w:link w:val="CommentSubject"/>
    <w:uiPriority w:val="99"/>
    <w:semiHidden/>
    <w:rsid w:val="00810F76"/>
    <w:rPr>
      <w:rFonts w:ascii="Arial" w:hAnsi="Arial"/>
      <w:b/>
      <w:bCs/>
      <w:color w:val="404040" w:themeColor="text1" w:themeTint="BF"/>
      <w:sz w:val="20"/>
      <w:szCs w:val="20"/>
    </w:rPr>
  </w:style>
  <w:style w:type="paragraph" w:styleId="Revision">
    <w:name w:val="Revision"/>
    <w:hidden/>
    <w:uiPriority w:val="99"/>
    <w:semiHidden/>
    <w:rsid w:val="00AF1834"/>
    <w:pPr>
      <w:spacing w:after="0" w:line="240" w:lineRule="auto"/>
    </w:pPr>
    <w:rPr>
      <w:rFonts w:ascii="Arial" w:hAnsi="Arial"/>
      <w:color w:val="404040" w:themeColor="text1" w:themeTint="BF"/>
      <w:sz w:val="20"/>
    </w:rPr>
  </w:style>
  <w:style w:type="character" w:styleId="UnresolvedMention">
    <w:name w:val="Unresolved Mention"/>
    <w:basedOn w:val="DefaultParagraphFont"/>
    <w:uiPriority w:val="99"/>
    <w:semiHidden/>
    <w:unhideWhenUsed/>
    <w:rsid w:val="003025E2"/>
    <w:rPr>
      <w:color w:val="605E5C"/>
      <w:shd w:val="clear" w:color="auto" w:fill="E1DFDD"/>
    </w:rPr>
  </w:style>
  <w:style w:type="table" w:customStyle="1" w:styleId="TableGrid11">
    <w:name w:val="Table Grid11"/>
    <w:basedOn w:val="TableNormal"/>
    <w:uiPriority w:val="59"/>
    <w:rsid w:val="00E152A7"/>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semiHidden/>
    <w:unhideWhenUsed/>
    <w:rsid w:val="00E152A7"/>
    <w:pPr>
      <w:spacing w:line="240" w:lineRule="auto"/>
    </w:pPr>
    <w:rPr>
      <w:color w:val="4040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2013">
      <w:bodyDiv w:val="1"/>
      <w:marLeft w:val="0"/>
      <w:marRight w:val="0"/>
      <w:marTop w:val="0"/>
      <w:marBottom w:val="0"/>
      <w:divBdr>
        <w:top w:val="none" w:sz="0" w:space="0" w:color="auto"/>
        <w:left w:val="none" w:sz="0" w:space="0" w:color="auto"/>
        <w:bottom w:val="none" w:sz="0" w:space="0" w:color="auto"/>
        <w:right w:val="none" w:sz="0" w:space="0" w:color="auto"/>
      </w:divBdr>
    </w:div>
    <w:div w:id="252518843">
      <w:bodyDiv w:val="1"/>
      <w:marLeft w:val="0"/>
      <w:marRight w:val="0"/>
      <w:marTop w:val="0"/>
      <w:marBottom w:val="0"/>
      <w:divBdr>
        <w:top w:val="none" w:sz="0" w:space="0" w:color="auto"/>
        <w:left w:val="none" w:sz="0" w:space="0" w:color="auto"/>
        <w:bottom w:val="none" w:sz="0" w:space="0" w:color="auto"/>
        <w:right w:val="none" w:sz="0" w:space="0" w:color="auto"/>
      </w:divBdr>
      <w:divsChild>
        <w:div w:id="1179855502">
          <w:marLeft w:val="360"/>
          <w:marRight w:val="0"/>
          <w:marTop w:val="200"/>
          <w:marBottom w:val="0"/>
          <w:divBdr>
            <w:top w:val="none" w:sz="0" w:space="0" w:color="auto"/>
            <w:left w:val="none" w:sz="0" w:space="0" w:color="auto"/>
            <w:bottom w:val="none" w:sz="0" w:space="0" w:color="auto"/>
            <w:right w:val="none" w:sz="0" w:space="0" w:color="auto"/>
          </w:divBdr>
        </w:div>
      </w:divsChild>
    </w:div>
    <w:div w:id="441612215">
      <w:bodyDiv w:val="1"/>
      <w:marLeft w:val="0"/>
      <w:marRight w:val="0"/>
      <w:marTop w:val="0"/>
      <w:marBottom w:val="0"/>
      <w:divBdr>
        <w:top w:val="none" w:sz="0" w:space="0" w:color="auto"/>
        <w:left w:val="none" w:sz="0" w:space="0" w:color="auto"/>
        <w:bottom w:val="none" w:sz="0" w:space="0" w:color="auto"/>
        <w:right w:val="none" w:sz="0" w:space="0" w:color="auto"/>
      </w:divBdr>
      <w:divsChild>
        <w:div w:id="1756315620">
          <w:marLeft w:val="360"/>
          <w:marRight w:val="0"/>
          <w:marTop w:val="200"/>
          <w:marBottom w:val="0"/>
          <w:divBdr>
            <w:top w:val="none" w:sz="0" w:space="0" w:color="auto"/>
            <w:left w:val="none" w:sz="0" w:space="0" w:color="auto"/>
            <w:bottom w:val="none" w:sz="0" w:space="0" w:color="auto"/>
            <w:right w:val="none" w:sz="0" w:space="0" w:color="auto"/>
          </w:divBdr>
        </w:div>
      </w:divsChild>
    </w:div>
    <w:div w:id="1094476975">
      <w:bodyDiv w:val="1"/>
      <w:marLeft w:val="0"/>
      <w:marRight w:val="0"/>
      <w:marTop w:val="0"/>
      <w:marBottom w:val="0"/>
      <w:divBdr>
        <w:top w:val="none" w:sz="0" w:space="0" w:color="auto"/>
        <w:left w:val="none" w:sz="0" w:space="0" w:color="auto"/>
        <w:bottom w:val="none" w:sz="0" w:space="0" w:color="auto"/>
        <w:right w:val="none" w:sz="0" w:space="0" w:color="auto"/>
      </w:divBdr>
      <w:divsChild>
        <w:div w:id="661278397">
          <w:marLeft w:val="547"/>
          <w:marRight w:val="0"/>
          <w:marTop w:val="0"/>
          <w:marBottom w:val="0"/>
          <w:divBdr>
            <w:top w:val="none" w:sz="0" w:space="0" w:color="auto"/>
            <w:left w:val="none" w:sz="0" w:space="0" w:color="auto"/>
            <w:bottom w:val="none" w:sz="0" w:space="0" w:color="auto"/>
            <w:right w:val="none" w:sz="0" w:space="0" w:color="auto"/>
          </w:divBdr>
        </w:div>
      </w:divsChild>
    </w:div>
    <w:div w:id="1114247011">
      <w:bodyDiv w:val="1"/>
      <w:marLeft w:val="0"/>
      <w:marRight w:val="0"/>
      <w:marTop w:val="0"/>
      <w:marBottom w:val="0"/>
      <w:divBdr>
        <w:top w:val="none" w:sz="0" w:space="0" w:color="auto"/>
        <w:left w:val="none" w:sz="0" w:space="0" w:color="auto"/>
        <w:bottom w:val="none" w:sz="0" w:space="0" w:color="auto"/>
        <w:right w:val="none" w:sz="0" w:space="0" w:color="auto"/>
      </w:divBdr>
    </w:div>
    <w:div w:id="1677877166">
      <w:bodyDiv w:val="1"/>
      <w:marLeft w:val="0"/>
      <w:marRight w:val="0"/>
      <w:marTop w:val="0"/>
      <w:marBottom w:val="0"/>
      <w:divBdr>
        <w:top w:val="none" w:sz="0" w:space="0" w:color="auto"/>
        <w:left w:val="none" w:sz="0" w:space="0" w:color="auto"/>
        <w:bottom w:val="none" w:sz="0" w:space="0" w:color="auto"/>
        <w:right w:val="none" w:sz="0" w:space="0" w:color="auto"/>
      </w:divBdr>
      <w:divsChild>
        <w:div w:id="62879678">
          <w:marLeft w:val="360"/>
          <w:marRight w:val="0"/>
          <w:marTop w:val="200"/>
          <w:marBottom w:val="0"/>
          <w:divBdr>
            <w:top w:val="none" w:sz="0" w:space="0" w:color="auto"/>
            <w:left w:val="none" w:sz="0" w:space="0" w:color="auto"/>
            <w:bottom w:val="none" w:sz="0" w:space="0" w:color="auto"/>
            <w:right w:val="none" w:sz="0" w:space="0" w:color="auto"/>
          </w:divBdr>
        </w:div>
      </w:divsChild>
    </w:div>
    <w:div w:id="1689595908">
      <w:bodyDiv w:val="1"/>
      <w:marLeft w:val="0"/>
      <w:marRight w:val="0"/>
      <w:marTop w:val="0"/>
      <w:marBottom w:val="0"/>
      <w:divBdr>
        <w:top w:val="none" w:sz="0" w:space="0" w:color="auto"/>
        <w:left w:val="none" w:sz="0" w:space="0" w:color="auto"/>
        <w:bottom w:val="none" w:sz="0" w:space="0" w:color="auto"/>
        <w:right w:val="none" w:sz="0" w:space="0" w:color="auto"/>
      </w:divBdr>
      <w:divsChild>
        <w:div w:id="152840664">
          <w:marLeft w:val="547"/>
          <w:marRight w:val="0"/>
          <w:marTop w:val="0"/>
          <w:marBottom w:val="0"/>
          <w:divBdr>
            <w:top w:val="none" w:sz="0" w:space="0" w:color="auto"/>
            <w:left w:val="none" w:sz="0" w:space="0" w:color="auto"/>
            <w:bottom w:val="none" w:sz="0" w:space="0" w:color="auto"/>
            <w:right w:val="none" w:sz="0" w:space="0" w:color="auto"/>
          </w:divBdr>
        </w:div>
      </w:divsChild>
    </w:div>
    <w:div w:id="1699159126">
      <w:bodyDiv w:val="1"/>
      <w:marLeft w:val="0"/>
      <w:marRight w:val="0"/>
      <w:marTop w:val="0"/>
      <w:marBottom w:val="0"/>
      <w:divBdr>
        <w:top w:val="none" w:sz="0" w:space="0" w:color="auto"/>
        <w:left w:val="none" w:sz="0" w:space="0" w:color="auto"/>
        <w:bottom w:val="none" w:sz="0" w:space="0" w:color="auto"/>
        <w:right w:val="none" w:sz="0" w:space="0" w:color="auto"/>
      </w:divBdr>
      <w:divsChild>
        <w:div w:id="602349556">
          <w:marLeft w:val="360"/>
          <w:marRight w:val="0"/>
          <w:marTop w:val="200"/>
          <w:marBottom w:val="0"/>
          <w:divBdr>
            <w:top w:val="none" w:sz="0" w:space="0" w:color="auto"/>
            <w:left w:val="none" w:sz="0" w:space="0" w:color="auto"/>
            <w:bottom w:val="none" w:sz="0" w:space="0" w:color="auto"/>
            <w:right w:val="none" w:sz="0" w:space="0" w:color="auto"/>
          </w:divBdr>
        </w:div>
      </w:divsChild>
    </w:div>
    <w:div w:id="19219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artenergycodecompany.co.uk/modifications/service-request-forecas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rasco.co.uk\root\Clients\SECCo\05%20-%20Modifications\Templates\01%20-%20Documents\03%20-%20Refine%20Stage%20documents\05%20-%20Working%20Group\Working%20Group%20Meeting%20Summ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85C8-F546-4FB1-80A5-E949013C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 Group Meeting Summary Template.dotx</Template>
  <TotalTime>5</TotalTime>
  <Pages>4</Pages>
  <Words>1177</Words>
  <Characters>6711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MP102B - Working Group meeting summary</vt:lpstr>
    </vt:vector>
  </TitlesOfParts>
  <Company>Gemserv</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MP116 - Working Group meeting summary</dc:title>
  <dc:creator>Bradley Baker</dc:creator>
  <cp:lastModifiedBy>Bradley Baker</cp:lastModifiedBy>
  <cp:revision>2</cp:revision>
  <cp:lastPrinted>2020-10-20T09:46:00Z</cp:lastPrinted>
  <dcterms:created xsi:type="dcterms:W3CDTF">2020-12-03T11:30:00Z</dcterms:created>
  <dcterms:modified xsi:type="dcterms:W3CDTF">2020-12-03T11:30:00Z</dcterms:modified>
</cp:coreProperties>
</file>