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D814" w14:textId="4641C1E8"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471CF36B" wp14:editId="3CB33433">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F36B"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v:textbox>
                <w10:wrap type="square" anchorx="margin"/>
              </v:shape>
            </w:pict>
          </mc:Fallback>
        </mc:AlternateContent>
      </w:r>
      <w:r>
        <w:rPr>
          <w:sz w:val="30"/>
          <w:szCs w:val="30"/>
        </w:rPr>
        <w:t>MP</w:t>
      </w:r>
      <w:r w:rsidR="005F65BB">
        <w:rPr>
          <w:sz w:val="30"/>
          <w:szCs w:val="30"/>
        </w:rPr>
        <w:t>1</w:t>
      </w:r>
      <w:r w:rsidR="006B33AA">
        <w:rPr>
          <w:sz w:val="30"/>
          <w:szCs w:val="30"/>
        </w:rPr>
        <w:t>16</w:t>
      </w:r>
      <w:r>
        <w:rPr>
          <w:sz w:val="30"/>
          <w:szCs w:val="30"/>
        </w:rPr>
        <w:t xml:space="preserve"> ‘</w:t>
      </w:r>
      <w:r w:rsidR="006B33AA">
        <w:rPr>
          <w:sz w:val="30"/>
          <w:szCs w:val="30"/>
        </w:rPr>
        <w:t>Service Request Forecasting</w:t>
      </w:r>
      <w:r>
        <w:rPr>
          <w:sz w:val="30"/>
          <w:szCs w:val="30"/>
        </w:rPr>
        <w:t>’</w:t>
      </w:r>
    </w:p>
    <w:p w14:paraId="4AF16256" w14:textId="3DCDA5E9" w:rsidR="00B13710" w:rsidRDefault="00811994" w:rsidP="00B13710">
      <w:pPr>
        <w:pStyle w:val="SECPaperTitle"/>
        <w:spacing w:before="0" w:after="240"/>
        <w:rPr>
          <w:sz w:val="30"/>
          <w:szCs w:val="30"/>
        </w:rPr>
      </w:pPr>
      <w:r>
        <w:rPr>
          <w:sz w:val="30"/>
          <w:szCs w:val="30"/>
        </w:rPr>
        <w:t>Ju</w:t>
      </w:r>
      <w:r w:rsidR="005F65BB">
        <w:rPr>
          <w:sz w:val="30"/>
          <w:szCs w:val="30"/>
        </w:rPr>
        <w:t>ly</w:t>
      </w:r>
      <w:r>
        <w:rPr>
          <w:sz w:val="30"/>
          <w:szCs w:val="30"/>
        </w:rPr>
        <w:t xml:space="preserve"> 2020</w:t>
      </w:r>
      <w:r w:rsidR="00B13710">
        <w:rPr>
          <w:sz w:val="30"/>
          <w:szCs w:val="30"/>
        </w:rPr>
        <w:t xml:space="preserve"> </w:t>
      </w:r>
      <w:r w:rsidR="003423F3">
        <w:rPr>
          <w:sz w:val="30"/>
          <w:szCs w:val="30"/>
        </w:rPr>
        <w:t xml:space="preserve">Working Group </w:t>
      </w:r>
      <w:r w:rsidR="002A76CA">
        <w:rPr>
          <w:sz w:val="30"/>
          <w:szCs w:val="30"/>
        </w:rPr>
        <w:t>– me</w:t>
      </w:r>
      <w:r w:rsidR="003423F3" w:rsidRPr="008E76FA">
        <w:rPr>
          <w:sz w:val="30"/>
          <w:szCs w:val="30"/>
        </w:rPr>
        <w:t>eting</w:t>
      </w:r>
      <w:r w:rsidR="002A76CA">
        <w:rPr>
          <w:sz w:val="30"/>
          <w:szCs w:val="30"/>
        </w:rPr>
        <w:t xml:space="preserve"> summary</w:t>
      </w:r>
    </w:p>
    <w:p w14:paraId="29566CD0" w14:textId="6E1110ED" w:rsidR="00564EBA" w:rsidRDefault="00564EBA" w:rsidP="00387635">
      <w:pPr>
        <w:pStyle w:val="Subtitle"/>
      </w:pPr>
      <w:r>
        <w:t>Attendees</w:t>
      </w:r>
    </w:p>
    <w:tbl>
      <w:tblPr>
        <w:tblStyle w:val="TableGrid1"/>
        <w:tblW w:w="2906" w:type="pct"/>
        <w:jc w:val="center"/>
        <w:tblInd w:w="0" w:type="dxa"/>
        <w:tblLook w:val="04A0" w:firstRow="1" w:lastRow="0" w:firstColumn="1" w:lastColumn="0" w:noHBand="0" w:noVBand="1"/>
      </w:tblPr>
      <w:tblGrid>
        <w:gridCol w:w="3005"/>
        <w:gridCol w:w="2235"/>
      </w:tblGrid>
      <w:tr w:rsidR="00893153" w14:paraId="23A60692" w14:textId="77777777" w:rsidTr="00B97FD9">
        <w:trPr>
          <w:trHeight w:val="514"/>
          <w:jc w:val="center"/>
        </w:trPr>
        <w:tc>
          <w:tcPr>
            <w:tcW w:w="2867" w:type="pct"/>
            <w:tcBorders>
              <w:top w:val="single" w:sz="4" w:space="0" w:color="auto"/>
              <w:left w:val="single" w:sz="4" w:space="0" w:color="auto"/>
              <w:bottom w:val="single" w:sz="4" w:space="0" w:color="auto"/>
              <w:right w:val="single" w:sz="4" w:space="0" w:color="auto"/>
            </w:tcBorders>
            <w:shd w:val="clear" w:color="auto" w:fill="17A800"/>
            <w:vAlign w:val="center"/>
          </w:tcPr>
          <w:p w14:paraId="060DAA60" w14:textId="77777777" w:rsidR="00893153" w:rsidRPr="003C08F7" w:rsidRDefault="00893153" w:rsidP="00B97FD9">
            <w:pPr>
              <w:pStyle w:val="TableHeading"/>
            </w:pPr>
            <w:bookmarkStart w:id="0" w:name="_Hlk42083974"/>
            <w:r>
              <w:t>Attendee</w:t>
            </w:r>
          </w:p>
        </w:tc>
        <w:tc>
          <w:tcPr>
            <w:tcW w:w="2133" w:type="pct"/>
            <w:tcBorders>
              <w:top w:val="single" w:sz="4" w:space="0" w:color="auto"/>
              <w:left w:val="single" w:sz="4" w:space="0" w:color="auto"/>
              <w:bottom w:val="single" w:sz="4" w:space="0" w:color="auto"/>
              <w:right w:val="single" w:sz="4" w:space="0" w:color="auto"/>
            </w:tcBorders>
            <w:shd w:val="clear" w:color="auto" w:fill="17A800"/>
            <w:vAlign w:val="center"/>
          </w:tcPr>
          <w:p w14:paraId="554DC5B1" w14:textId="77777777" w:rsidR="00893153" w:rsidRPr="003C08F7" w:rsidRDefault="00893153" w:rsidP="00B97FD9">
            <w:pPr>
              <w:pStyle w:val="TableHeading"/>
            </w:pPr>
            <w:r>
              <w:t>Organisation</w:t>
            </w:r>
          </w:p>
        </w:tc>
      </w:tr>
      <w:tr w:rsidR="00893153" w14:paraId="4CBCAB4B" w14:textId="77777777" w:rsidTr="00B97FD9">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3356DEC4" w14:textId="77777777" w:rsidR="00893153" w:rsidRPr="006C637C" w:rsidRDefault="00893153" w:rsidP="00B97FD9">
            <w:pPr>
              <w:spacing w:before="30" w:after="30"/>
              <w:rPr>
                <w:rFonts w:cs="Arial"/>
                <w:szCs w:val="20"/>
                <w:lang w:eastAsia="en-GB"/>
              </w:rPr>
            </w:pPr>
            <w:r w:rsidRPr="006C637C">
              <w:rPr>
                <w:rFonts w:cs="Arial"/>
                <w:szCs w:val="20"/>
                <w:lang w:eastAsia="en-GB"/>
              </w:rPr>
              <w:t>Ali Beard</w:t>
            </w:r>
          </w:p>
        </w:tc>
        <w:tc>
          <w:tcPr>
            <w:tcW w:w="2133" w:type="pct"/>
            <w:tcBorders>
              <w:top w:val="single" w:sz="4" w:space="0" w:color="auto"/>
              <w:left w:val="single" w:sz="4" w:space="0" w:color="auto"/>
              <w:bottom w:val="single" w:sz="4" w:space="0" w:color="auto"/>
              <w:right w:val="single" w:sz="4" w:space="0" w:color="auto"/>
            </w:tcBorders>
          </w:tcPr>
          <w:p w14:paraId="26ACC2DF" w14:textId="77777777" w:rsidR="00893153" w:rsidRPr="006C637C" w:rsidRDefault="00893153" w:rsidP="00B97FD9">
            <w:pPr>
              <w:spacing w:before="30" w:after="30"/>
              <w:rPr>
                <w:lang w:eastAsia="en-GB"/>
              </w:rPr>
            </w:pPr>
            <w:r w:rsidRPr="006C637C">
              <w:rPr>
                <w:lang w:eastAsia="en-GB"/>
              </w:rPr>
              <w:t>SECAS</w:t>
            </w:r>
          </w:p>
        </w:tc>
      </w:tr>
      <w:tr w:rsidR="00893153" w14:paraId="73D780EF"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D04449E" w14:textId="77777777" w:rsidR="00893153" w:rsidRPr="006C637C" w:rsidRDefault="00893153" w:rsidP="00B97FD9">
            <w:pPr>
              <w:spacing w:before="30" w:after="30"/>
              <w:rPr>
                <w:rFonts w:cs="Arial"/>
                <w:szCs w:val="20"/>
                <w:lang w:eastAsia="en-GB"/>
              </w:rPr>
            </w:pPr>
            <w:r w:rsidRPr="006C637C">
              <w:rPr>
                <w:rFonts w:cs="Arial"/>
                <w:szCs w:val="20"/>
                <w:lang w:eastAsia="en-GB"/>
              </w:rPr>
              <w:t>Bradley Baker</w:t>
            </w:r>
          </w:p>
        </w:tc>
        <w:tc>
          <w:tcPr>
            <w:tcW w:w="2133" w:type="pct"/>
            <w:tcBorders>
              <w:top w:val="single" w:sz="4" w:space="0" w:color="auto"/>
              <w:left w:val="single" w:sz="4" w:space="0" w:color="auto"/>
              <w:bottom w:val="single" w:sz="4" w:space="0" w:color="auto"/>
              <w:right w:val="single" w:sz="4" w:space="0" w:color="auto"/>
            </w:tcBorders>
          </w:tcPr>
          <w:p w14:paraId="27C96294" w14:textId="77777777" w:rsidR="00893153" w:rsidRPr="006C637C" w:rsidRDefault="00893153" w:rsidP="00B97FD9">
            <w:pPr>
              <w:spacing w:before="30" w:after="30"/>
              <w:rPr>
                <w:lang w:eastAsia="en-GB"/>
              </w:rPr>
            </w:pPr>
            <w:r w:rsidRPr="006C637C">
              <w:rPr>
                <w:lang w:eastAsia="en-GB"/>
              </w:rPr>
              <w:t>SECAS</w:t>
            </w:r>
          </w:p>
        </w:tc>
      </w:tr>
      <w:tr w:rsidR="00893153" w14:paraId="6872A2F6"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2D7A415E" w14:textId="77777777" w:rsidR="00893153" w:rsidRPr="006C637C" w:rsidRDefault="00893153" w:rsidP="00B97FD9">
            <w:pPr>
              <w:spacing w:before="30" w:after="30"/>
              <w:rPr>
                <w:rFonts w:cs="Arial"/>
                <w:szCs w:val="20"/>
                <w:lang w:eastAsia="en-GB"/>
              </w:rPr>
            </w:pPr>
            <w:r w:rsidRPr="006C637C">
              <w:rPr>
                <w:rFonts w:cs="Arial"/>
                <w:szCs w:val="20"/>
                <w:lang w:eastAsia="en-GB"/>
              </w:rPr>
              <w:t>Eessa Mansoor</w:t>
            </w:r>
          </w:p>
        </w:tc>
        <w:tc>
          <w:tcPr>
            <w:tcW w:w="2133" w:type="pct"/>
            <w:tcBorders>
              <w:top w:val="single" w:sz="4" w:space="0" w:color="auto"/>
              <w:left w:val="single" w:sz="4" w:space="0" w:color="auto"/>
              <w:bottom w:val="single" w:sz="4" w:space="0" w:color="auto"/>
              <w:right w:val="single" w:sz="4" w:space="0" w:color="auto"/>
            </w:tcBorders>
          </w:tcPr>
          <w:p w14:paraId="462A8665" w14:textId="77777777" w:rsidR="00893153" w:rsidRPr="006C637C" w:rsidRDefault="00893153" w:rsidP="00B97FD9">
            <w:pPr>
              <w:spacing w:before="30" w:after="30"/>
              <w:rPr>
                <w:lang w:eastAsia="en-GB"/>
              </w:rPr>
            </w:pPr>
            <w:r w:rsidRPr="006C637C">
              <w:rPr>
                <w:lang w:eastAsia="en-GB"/>
              </w:rPr>
              <w:t>SECAS</w:t>
            </w:r>
          </w:p>
        </w:tc>
      </w:tr>
      <w:tr w:rsidR="00893153" w14:paraId="16A12BC8"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10E2A225" w14:textId="77777777" w:rsidR="00893153" w:rsidRPr="006C637C" w:rsidRDefault="00893153" w:rsidP="00B97FD9">
            <w:pPr>
              <w:spacing w:before="30" w:after="30"/>
              <w:rPr>
                <w:rFonts w:cs="Arial"/>
                <w:szCs w:val="20"/>
                <w:lang w:eastAsia="en-GB"/>
              </w:rPr>
            </w:pPr>
            <w:r w:rsidRPr="006C637C">
              <w:rPr>
                <w:rFonts w:cs="Arial"/>
                <w:szCs w:val="20"/>
                <w:lang w:eastAsia="en-GB"/>
              </w:rPr>
              <w:t>David Walsh</w:t>
            </w:r>
          </w:p>
        </w:tc>
        <w:tc>
          <w:tcPr>
            <w:tcW w:w="2133" w:type="pct"/>
            <w:tcBorders>
              <w:top w:val="single" w:sz="4" w:space="0" w:color="auto"/>
              <w:left w:val="single" w:sz="4" w:space="0" w:color="auto"/>
              <w:bottom w:val="single" w:sz="4" w:space="0" w:color="auto"/>
              <w:right w:val="single" w:sz="4" w:space="0" w:color="auto"/>
            </w:tcBorders>
          </w:tcPr>
          <w:p w14:paraId="617312B2" w14:textId="77777777" w:rsidR="00893153" w:rsidRPr="006C637C" w:rsidRDefault="00893153" w:rsidP="00B97FD9">
            <w:pPr>
              <w:spacing w:before="30" w:after="30"/>
              <w:rPr>
                <w:lang w:eastAsia="en-GB"/>
              </w:rPr>
            </w:pPr>
            <w:r w:rsidRPr="006C637C">
              <w:rPr>
                <w:lang w:eastAsia="en-GB"/>
              </w:rPr>
              <w:t>DCC</w:t>
            </w:r>
          </w:p>
        </w:tc>
      </w:tr>
      <w:tr w:rsidR="00893153" w14:paraId="730C5FED"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0194776" w14:textId="77777777" w:rsidR="00893153" w:rsidRPr="006C637C" w:rsidRDefault="00893153" w:rsidP="00B97FD9">
            <w:pPr>
              <w:spacing w:before="30" w:after="30"/>
              <w:rPr>
                <w:rFonts w:cs="Arial"/>
                <w:szCs w:val="20"/>
                <w:lang w:eastAsia="en-GB"/>
              </w:rPr>
            </w:pPr>
            <w:r w:rsidRPr="006C637C">
              <w:rPr>
                <w:rFonts w:cs="Arial"/>
                <w:szCs w:val="20"/>
                <w:lang w:eastAsia="en-GB"/>
              </w:rPr>
              <w:t>Chun Chen</w:t>
            </w:r>
          </w:p>
        </w:tc>
        <w:tc>
          <w:tcPr>
            <w:tcW w:w="2133" w:type="pct"/>
            <w:tcBorders>
              <w:top w:val="single" w:sz="4" w:space="0" w:color="auto"/>
              <w:left w:val="single" w:sz="4" w:space="0" w:color="auto"/>
              <w:bottom w:val="single" w:sz="4" w:space="0" w:color="auto"/>
              <w:right w:val="single" w:sz="4" w:space="0" w:color="auto"/>
            </w:tcBorders>
          </w:tcPr>
          <w:p w14:paraId="24D74F5D" w14:textId="77777777" w:rsidR="00893153" w:rsidRPr="006C637C" w:rsidRDefault="00893153" w:rsidP="00B97FD9">
            <w:pPr>
              <w:spacing w:before="30" w:after="30"/>
              <w:rPr>
                <w:lang w:eastAsia="en-GB"/>
              </w:rPr>
            </w:pPr>
            <w:r w:rsidRPr="006C637C">
              <w:rPr>
                <w:lang w:eastAsia="en-GB"/>
              </w:rPr>
              <w:t>DCC</w:t>
            </w:r>
          </w:p>
        </w:tc>
      </w:tr>
      <w:tr w:rsidR="00893153" w14:paraId="1F7F8CF0"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3CC8E954" w14:textId="77777777" w:rsidR="00893153" w:rsidRPr="006C637C" w:rsidRDefault="00893153" w:rsidP="00B97FD9">
            <w:pPr>
              <w:spacing w:before="30" w:after="30"/>
              <w:rPr>
                <w:rFonts w:cs="Arial"/>
                <w:szCs w:val="20"/>
                <w:lang w:eastAsia="en-GB"/>
              </w:rPr>
            </w:pPr>
            <w:r w:rsidRPr="006C637C">
              <w:rPr>
                <w:rFonts w:cs="Arial"/>
                <w:szCs w:val="20"/>
                <w:lang w:eastAsia="en-GB"/>
              </w:rPr>
              <w:t>Mari Toda</w:t>
            </w:r>
          </w:p>
        </w:tc>
        <w:tc>
          <w:tcPr>
            <w:tcW w:w="2133" w:type="pct"/>
            <w:tcBorders>
              <w:top w:val="single" w:sz="4" w:space="0" w:color="auto"/>
              <w:left w:val="single" w:sz="4" w:space="0" w:color="auto"/>
              <w:bottom w:val="single" w:sz="4" w:space="0" w:color="auto"/>
              <w:right w:val="single" w:sz="4" w:space="0" w:color="auto"/>
            </w:tcBorders>
          </w:tcPr>
          <w:p w14:paraId="02AC1A74" w14:textId="77777777" w:rsidR="00893153" w:rsidRPr="006C637C" w:rsidRDefault="00893153" w:rsidP="00B97FD9">
            <w:pPr>
              <w:spacing w:before="30" w:after="30"/>
              <w:rPr>
                <w:lang w:eastAsia="en-GB"/>
              </w:rPr>
            </w:pPr>
            <w:r w:rsidRPr="006C637C">
              <w:rPr>
                <w:lang w:eastAsia="en-GB"/>
              </w:rPr>
              <w:t>DCC</w:t>
            </w:r>
          </w:p>
        </w:tc>
      </w:tr>
      <w:tr w:rsidR="00893153" w14:paraId="32750875"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B4EA0E3" w14:textId="77777777" w:rsidR="00893153" w:rsidRPr="006C637C" w:rsidRDefault="00893153" w:rsidP="00B97FD9">
            <w:pPr>
              <w:spacing w:before="30" w:after="30"/>
              <w:rPr>
                <w:rFonts w:cs="Arial"/>
                <w:szCs w:val="20"/>
                <w:lang w:eastAsia="en-GB"/>
              </w:rPr>
            </w:pPr>
            <w:r w:rsidRPr="006C637C">
              <w:rPr>
                <w:rFonts w:cs="Arial"/>
                <w:szCs w:val="20"/>
                <w:lang w:eastAsia="en-GB"/>
              </w:rPr>
              <w:t>Remi Oluwabamise</w:t>
            </w:r>
          </w:p>
        </w:tc>
        <w:tc>
          <w:tcPr>
            <w:tcW w:w="2133" w:type="pct"/>
            <w:tcBorders>
              <w:top w:val="single" w:sz="4" w:space="0" w:color="auto"/>
              <w:left w:val="single" w:sz="4" w:space="0" w:color="auto"/>
              <w:bottom w:val="single" w:sz="4" w:space="0" w:color="auto"/>
              <w:right w:val="single" w:sz="4" w:space="0" w:color="auto"/>
            </w:tcBorders>
          </w:tcPr>
          <w:p w14:paraId="127F232C" w14:textId="77777777" w:rsidR="00893153" w:rsidRPr="006C637C" w:rsidRDefault="00893153" w:rsidP="00B97FD9">
            <w:pPr>
              <w:spacing w:before="30" w:after="30"/>
              <w:rPr>
                <w:lang w:eastAsia="en-GB"/>
              </w:rPr>
            </w:pPr>
            <w:r w:rsidRPr="006C637C">
              <w:rPr>
                <w:lang w:eastAsia="en-GB"/>
              </w:rPr>
              <w:t>DCC</w:t>
            </w:r>
          </w:p>
        </w:tc>
      </w:tr>
      <w:tr w:rsidR="00893153" w14:paraId="537D8820"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ED23031" w14:textId="77777777" w:rsidR="00893153" w:rsidRPr="006C637C" w:rsidRDefault="00893153" w:rsidP="00B97FD9">
            <w:pPr>
              <w:spacing w:before="30" w:after="30"/>
              <w:rPr>
                <w:rFonts w:cs="Arial"/>
                <w:szCs w:val="20"/>
                <w:lang w:eastAsia="en-GB"/>
              </w:rPr>
            </w:pPr>
            <w:r w:rsidRPr="006C637C">
              <w:rPr>
                <w:rFonts w:cs="Arial"/>
                <w:szCs w:val="20"/>
                <w:lang w:eastAsia="en-GB"/>
              </w:rPr>
              <w:t>Graeme Liggett</w:t>
            </w:r>
          </w:p>
        </w:tc>
        <w:tc>
          <w:tcPr>
            <w:tcW w:w="2133" w:type="pct"/>
            <w:tcBorders>
              <w:top w:val="single" w:sz="4" w:space="0" w:color="auto"/>
              <w:left w:val="single" w:sz="4" w:space="0" w:color="auto"/>
              <w:bottom w:val="single" w:sz="4" w:space="0" w:color="auto"/>
              <w:right w:val="single" w:sz="4" w:space="0" w:color="auto"/>
            </w:tcBorders>
          </w:tcPr>
          <w:p w14:paraId="708FB0C6" w14:textId="77777777" w:rsidR="00893153" w:rsidRPr="006C637C" w:rsidRDefault="00893153" w:rsidP="00B97FD9">
            <w:pPr>
              <w:spacing w:before="30" w:after="30"/>
              <w:rPr>
                <w:lang w:eastAsia="en-GB"/>
              </w:rPr>
            </w:pPr>
            <w:r w:rsidRPr="006C637C">
              <w:rPr>
                <w:lang w:eastAsia="en-GB"/>
              </w:rPr>
              <w:t>DCC</w:t>
            </w:r>
          </w:p>
        </w:tc>
      </w:tr>
      <w:tr w:rsidR="00893153" w14:paraId="710A321F"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11DC188E" w14:textId="77777777" w:rsidR="00893153" w:rsidRPr="006C637C" w:rsidRDefault="00893153" w:rsidP="00B97FD9">
            <w:pPr>
              <w:spacing w:before="30" w:after="30"/>
              <w:rPr>
                <w:rFonts w:cs="Arial"/>
                <w:szCs w:val="20"/>
                <w:lang w:eastAsia="en-GB"/>
              </w:rPr>
            </w:pPr>
            <w:r w:rsidRPr="006C637C">
              <w:rPr>
                <w:rFonts w:cs="Arial"/>
                <w:szCs w:val="20"/>
                <w:lang w:eastAsia="en-GB"/>
              </w:rPr>
              <w:t>Gary Bailey</w:t>
            </w:r>
          </w:p>
        </w:tc>
        <w:tc>
          <w:tcPr>
            <w:tcW w:w="2133" w:type="pct"/>
            <w:tcBorders>
              <w:top w:val="single" w:sz="4" w:space="0" w:color="auto"/>
              <w:left w:val="single" w:sz="4" w:space="0" w:color="auto"/>
              <w:bottom w:val="single" w:sz="4" w:space="0" w:color="auto"/>
              <w:right w:val="single" w:sz="4" w:space="0" w:color="auto"/>
            </w:tcBorders>
          </w:tcPr>
          <w:p w14:paraId="43A6CCC3" w14:textId="77777777" w:rsidR="00893153" w:rsidRPr="006C637C" w:rsidRDefault="00893153" w:rsidP="00B97FD9">
            <w:pPr>
              <w:spacing w:before="30" w:after="30"/>
              <w:rPr>
                <w:lang w:eastAsia="en-GB"/>
              </w:rPr>
            </w:pPr>
            <w:r w:rsidRPr="006C637C">
              <w:rPr>
                <w:lang w:eastAsia="en-GB"/>
              </w:rPr>
              <w:t>DCC</w:t>
            </w:r>
          </w:p>
        </w:tc>
      </w:tr>
      <w:tr w:rsidR="00893153" w14:paraId="38F87E54"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2F31D4EF" w14:textId="77777777" w:rsidR="00893153" w:rsidRPr="006C637C" w:rsidRDefault="00893153" w:rsidP="00B97FD9">
            <w:pPr>
              <w:spacing w:before="30" w:after="30"/>
              <w:rPr>
                <w:rFonts w:cs="Arial"/>
                <w:szCs w:val="20"/>
                <w:lang w:eastAsia="en-GB"/>
              </w:rPr>
            </w:pPr>
            <w:r w:rsidRPr="006C637C">
              <w:rPr>
                <w:rFonts w:cs="Arial"/>
                <w:szCs w:val="20"/>
                <w:lang w:eastAsia="en-GB"/>
              </w:rPr>
              <w:t>Paul Saker</w:t>
            </w:r>
          </w:p>
        </w:tc>
        <w:tc>
          <w:tcPr>
            <w:tcW w:w="2133" w:type="pct"/>
            <w:tcBorders>
              <w:top w:val="single" w:sz="4" w:space="0" w:color="auto"/>
              <w:left w:val="single" w:sz="4" w:space="0" w:color="auto"/>
              <w:bottom w:val="single" w:sz="4" w:space="0" w:color="auto"/>
              <w:right w:val="single" w:sz="4" w:space="0" w:color="auto"/>
            </w:tcBorders>
          </w:tcPr>
          <w:p w14:paraId="25C2B077" w14:textId="77777777" w:rsidR="00893153" w:rsidRPr="006C637C" w:rsidRDefault="00893153" w:rsidP="00B97FD9">
            <w:pPr>
              <w:spacing w:before="30" w:after="30"/>
              <w:rPr>
                <w:lang w:eastAsia="en-GB"/>
              </w:rPr>
            </w:pPr>
            <w:r w:rsidRPr="006C637C">
              <w:rPr>
                <w:lang w:eastAsia="en-GB"/>
              </w:rPr>
              <w:t>EDF</w:t>
            </w:r>
          </w:p>
        </w:tc>
      </w:tr>
      <w:tr w:rsidR="00893153" w14:paraId="01DF7E59"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30131FBA" w14:textId="77777777" w:rsidR="00893153" w:rsidRPr="006C637C" w:rsidRDefault="00893153" w:rsidP="00B97FD9">
            <w:pPr>
              <w:spacing w:before="30" w:after="30"/>
              <w:rPr>
                <w:rFonts w:cs="Arial"/>
                <w:szCs w:val="20"/>
                <w:lang w:eastAsia="en-GB"/>
              </w:rPr>
            </w:pPr>
            <w:r w:rsidRPr="006C637C">
              <w:rPr>
                <w:rFonts w:cs="Arial"/>
                <w:szCs w:val="20"/>
                <w:lang w:eastAsia="en-GB"/>
              </w:rPr>
              <w:t>Elias Hanna</w:t>
            </w:r>
          </w:p>
        </w:tc>
        <w:tc>
          <w:tcPr>
            <w:tcW w:w="2133" w:type="pct"/>
            <w:tcBorders>
              <w:top w:val="single" w:sz="4" w:space="0" w:color="auto"/>
              <w:left w:val="single" w:sz="4" w:space="0" w:color="auto"/>
              <w:bottom w:val="single" w:sz="4" w:space="0" w:color="auto"/>
              <w:right w:val="single" w:sz="4" w:space="0" w:color="auto"/>
            </w:tcBorders>
          </w:tcPr>
          <w:p w14:paraId="68B4F9C9" w14:textId="77777777" w:rsidR="00893153" w:rsidRPr="006C637C" w:rsidRDefault="00893153" w:rsidP="00B97FD9">
            <w:pPr>
              <w:spacing w:before="30" w:after="30"/>
              <w:rPr>
                <w:lang w:eastAsia="en-GB"/>
              </w:rPr>
            </w:pPr>
            <w:r w:rsidRPr="006C637C">
              <w:rPr>
                <w:lang w:eastAsia="en-GB"/>
              </w:rPr>
              <w:t>Landis + Gyr</w:t>
            </w:r>
          </w:p>
        </w:tc>
      </w:tr>
      <w:tr w:rsidR="00893153" w14:paraId="1F474483"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5FEC624" w14:textId="77777777" w:rsidR="00893153" w:rsidRPr="006C637C" w:rsidRDefault="00893153" w:rsidP="00B97FD9">
            <w:pPr>
              <w:spacing w:before="30" w:after="30"/>
              <w:rPr>
                <w:rFonts w:cs="Arial"/>
                <w:szCs w:val="20"/>
                <w:lang w:eastAsia="en-GB"/>
              </w:rPr>
            </w:pPr>
            <w:r w:rsidRPr="006C637C">
              <w:rPr>
                <w:rFonts w:cs="Arial"/>
                <w:szCs w:val="20"/>
                <w:lang w:eastAsia="en-GB"/>
              </w:rPr>
              <w:t>Mahfuzar Rahman</w:t>
            </w:r>
          </w:p>
        </w:tc>
        <w:tc>
          <w:tcPr>
            <w:tcW w:w="2133" w:type="pct"/>
            <w:tcBorders>
              <w:top w:val="single" w:sz="4" w:space="0" w:color="auto"/>
              <w:left w:val="single" w:sz="4" w:space="0" w:color="auto"/>
              <w:bottom w:val="single" w:sz="4" w:space="0" w:color="auto"/>
              <w:right w:val="single" w:sz="4" w:space="0" w:color="auto"/>
            </w:tcBorders>
          </w:tcPr>
          <w:p w14:paraId="4A043A8E" w14:textId="77777777" w:rsidR="00893153" w:rsidRPr="006C637C" w:rsidRDefault="00893153" w:rsidP="00B97FD9">
            <w:pPr>
              <w:spacing w:before="30" w:after="30"/>
              <w:rPr>
                <w:lang w:eastAsia="en-GB"/>
              </w:rPr>
            </w:pPr>
            <w:r w:rsidRPr="006C637C">
              <w:rPr>
                <w:lang w:eastAsia="en-GB"/>
              </w:rPr>
              <w:t>Scottish Power</w:t>
            </w:r>
          </w:p>
        </w:tc>
      </w:tr>
      <w:tr w:rsidR="00893153" w14:paraId="018CD2F7"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C1C10C9" w14:textId="77777777" w:rsidR="00893153" w:rsidRPr="006C637C" w:rsidRDefault="00893153" w:rsidP="00B97FD9">
            <w:pPr>
              <w:spacing w:before="30" w:after="30"/>
              <w:rPr>
                <w:rFonts w:cs="Arial"/>
                <w:szCs w:val="20"/>
                <w:lang w:eastAsia="en-GB"/>
              </w:rPr>
            </w:pPr>
            <w:r w:rsidRPr="006C637C">
              <w:rPr>
                <w:rFonts w:cs="Arial"/>
                <w:szCs w:val="20"/>
                <w:lang w:eastAsia="en-GB"/>
              </w:rPr>
              <w:t>Emslie Law</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2BBCB587" w14:textId="77777777" w:rsidR="00893153" w:rsidRPr="006C637C" w:rsidRDefault="00893153" w:rsidP="00B97FD9">
            <w:pPr>
              <w:spacing w:before="30" w:after="30"/>
              <w:rPr>
                <w:lang w:eastAsia="en-GB"/>
              </w:rPr>
            </w:pPr>
            <w:r w:rsidRPr="006C637C">
              <w:rPr>
                <w:lang w:eastAsia="en-GB"/>
              </w:rPr>
              <w:t>SSE</w:t>
            </w:r>
          </w:p>
        </w:tc>
      </w:tr>
      <w:tr w:rsidR="00893153" w14:paraId="45ABCC9C"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1285F5D2" w14:textId="77777777" w:rsidR="00893153" w:rsidRPr="006C637C" w:rsidRDefault="00893153" w:rsidP="00B97FD9">
            <w:pPr>
              <w:spacing w:before="30" w:after="30"/>
              <w:rPr>
                <w:rFonts w:cs="Arial"/>
                <w:szCs w:val="20"/>
                <w:lang w:eastAsia="en-GB"/>
              </w:rPr>
            </w:pPr>
            <w:r w:rsidRPr="006C637C">
              <w:rPr>
                <w:rFonts w:cs="Arial"/>
                <w:szCs w:val="20"/>
                <w:lang w:eastAsia="en-GB"/>
              </w:rPr>
              <w:t>Daniel Davis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8343396" w14:textId="77777777" w:rsidR="00893153" w:rsidRPr="006C637C" w:rsidRDefault="00893153" w:rsidP="00B97FD9">
            <w:pPr>
              <w:spacing w:before="30" w:after="30"/>
              <w:rPr>
                <w:lang w:eastAsia="en-GB"/>
              </w:rPr>
            </w:pPr>
            <w:r w:rsidRPr="006C637C">
              <w:rPr>
                <w:lang w:eastAsia="en-GB"/>
              </w:rPr>
              <w:t>Utiligroup</w:t>
            </w:r>
          </w:p>
        </w:tc>
      </w:tr>
      <w:tr w:rsidR="00893153" w14:paraId="28019170"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6AD54700" w14:textId="77777777" w:rsidR="00893153" w:rsidRPr="006C637C" w:rsidRDefault="00893153" w:rsidP="00B97FD9">
            <w:pPr>
              <w:spacing w:before="30" w:after="30"/>
              <w:rPr>
                <w:rFonts w:cs="Arial"/>
                <w:szCs w:val="20"/>
                <w:lang w:eastAsia="en-GB"/>
              </w:rPr>
            </w:pPr>
            <w:r w:rsidRPr="006C637C">
              <w:rPr>
                <w:rFonts w:cs="Arial"/>
                <w:szCs w:val="20"/>
                <w:lang w:eastAsia="en-GB"/>
              </w:rPr>
              <w:t>Gemma Slaney</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1311AC09" w14:textId="77777777" w:rsidR="00893153" w:rsidRPr="006C637C" w:rsidRDefault="00893153" w:rsidP="00B97FD9">
            <w:pPr>
              <w:spacing w:before="30" w:after="30"/>
              <w:rPr>
                <w:lang w:eastAsia="en-GB"/>
              </w:rPr>
            </w:pPr>
            <w:r w:rsidRPr="006C637C">
              <w:rPr>
                <w:lang w:eastAsia="en-GB"/>
              </w:rPr>
              <w:t>WPD</w:t>
            </w:r>
          </w:p>
        </w:tc>
      </w:tr>
      <w:tr w:rsidR="00893153" w14:paraId="790B76D9"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F354A0E" w14:textId="77777777" w:rsidR="00893153" w:rsidRPr="006C637C" w:rsidRDefault="00893153" w:rsidP="00B97FD9">
            <w:pPr>
              <w:spacing w:before="30" w:after="30"/>
              <w:rPr>
                <w:rFonts w:cs="Arial"/>
                <w:szCs w:val="20"/>
                <w:lang w:eastAsia="en-GB"/>
              </w:rPr>
            </w:pPr>
            <w:r w:rsidRPr="006C637C">
              <w:rPr>
                <w:rFonts w:cs="Arial"/>
                <w:szCs w:val="20"/>
                <w:lang w:eastAsia="en-GB"/>
              </w:rPr>
              <w:t xml:space="preserve">Lynn Hargreaves </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1A66E929" w14:textId="77777777" w:rsidR="00893153" w:rsidRPr="006C637C" w:rsidRDefault="00893153" w:rsidP="00B97FD9">
            <w:pPr>
              <w:spacing w:before="30" w:after="30"/>
              <w:rPr>
                <w:lang w:eastAsia="en-GB"/>
              </w:rPr>
            </w:pPr>
            <w:r w:rsidRPr="006C637C">
              <w:rPr>
                <w:lang w:eastAsia="en-GB"/>
              </w:rPr>
              <w:t>Calvin Capital</w:t>
            </w:r>
          </w:p>
        </w:tc>
      </w:tr>
      <w:tr w:rsidR="00893153" w14:paraId="57B984AF"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7DB626F" w14:textId="77777777" w:rsidR="00893153" w:rsidRPr="006C637C" w:rsidRDefault="00893153" w:rsidP="00B97FD9">
            <w:pPr>
              <w:spacing w:before="30" w:after="30"/>
              <w:rPr>
                <w:rFonts w:cs="Arial"/>
                <w:szCs w:val="20"/>
                <w:lang w:eastAsia="en-GB"/>
              </w:rPr>
            </w:pPr>
            <w:r w:rsidRPr="006C637C">
              <w:rPr>
                <w:rFonts w:cs="Arial"/>
                <w:szCs w:val="20"/>
                <w:lang w:eastAsia="en-GB"/>
              </w:rPr>
              <w:t>Megan Sparks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65C230D" w14:textId="77777777" w:rsidR="00893153" w:rsidRPr="006C637C" w:rsidRDefault="00893153" w:rsidP="00B97FD9">
            <w:pPr>
              <w:spacing w:before="30" w:after="30"/>
              <w:rPr>
                <w:lang w:eastAsia="en-GB"/>
              </w:rPr>
            </w:pPr>
            <w:r w:rsidRPr="006C637C">
              <w:rPr>
                <w:lang w:eastAsia="en-GB"/>
              </w:rPr>
              <w:t>Good Energy</w:t>
            </w:r>
          </w:p>
        </w:tc>
      </w:tr>
      <w:tr w:rsidR="00893153" w14:paraId="5CBE0074"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3241B0C" w14:textId="77777777" w:rsidR="00893153" w:rsidRPr="006C637C" w:rsidRDefault="00893153" w:rsidP="00B97FD9">
            <w:pPr>
              <w:spacing w:before="30" w:after="30"/>
              <w:rPr>
                <w:rFonts w:cs="Arial"/>
                <w:szCs w:val="20"/>
                <w:lang w:eastAsia="en-GB"/>
              </w:rPr>
            </w:pPr>
            <w:r w:rsidRPr="006C637C">
              <w:rPr>
                <w:rFonts w:cs="Arial"/>
                <w:szCs w:val="20"/>
                <w:lang w:eastAsia="en-GB"/>
              </w:rPr>
              <w:t>Joao Afonso Almeida</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1B2E5D4D" w14:textId="77777777" w:rsidR="00893153" w:rsidRPr="006C637C" w:rsidRDefault="00893153" w:rsidP="00B97FD9">
            <w:pPr>
              <w:spacing w:before="30" w:after="30"/>
              <w:rPr>
                <w:lang w:eastAsia="en-GB"/>
              </w:rPr>
            </w:pPr>
            <w:r w:rsidRPr="006C637C">
              <w:rPr>
                <w:lang w:eastAsia="en-GB"/>
              </w:rPr>
              <w:t>Critical Software</w:t>
            </w:r>
          </w:p>
        </w:tc>
      </w:tr>
      <w:tr w:rsidR="00893153" w14:paraId="064E2010" w14:textId="77777777" w:rsidTr="00B97FD9">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0245CCD" w14:textId="77777777" w:rsidR="00893153" w:rsidRPr="006C637C" w:rsidRDefault="00893153" w:rsidP="00B97FD9">
            <w:pPr>
              <w:spacing w:before="30" w:after="30"/>
              <w:rPr>
                <w:rFonts w:cs="Arial"/>
                <w:szCs w:val="20"/>
                <w:lang w:eastAsia="en-GB"/>
              </w:rPr>
            </w:pPr>
            <w:r w:rsidRPr="006C637C">
              <w:rPr>
                <w:rFonts w:cs="Arial"/>
                <w:szCs w:val="20"/>
                <w:lang w:eastAsia="en-GB"/>
              </w:rPr>
              <w:t>Nina Lintott</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0E08E537" w14:textId="77777777" w:rsidR="00893153" w:rsidRPr="006C637C" w:rsidRDefault="00893153" w:rsidP="00B97FD9">
            <w:pPr>
              <w:spacing w:before="30" w:after="30"/>
              <w:rPr>
                <w:lang w:eastAsia="en-GB"/>
              </w:rPr>
            </w:pPr>
            <w:r w:rsidRPr="006C637C">
              <w:rPr>
                <w:lang w:eastAsia="en-GB"/>
              </w:rPr>
              <w:t>Gilmond</w:t>
            </w:r>
          </w:p>
        </w:tc>
      </w:tr>
      <w:bookmarkEnd w:id="0"/>
    </w:tbl>
    <w:p w14:paraId="1FC33FB2" w14:textId="77777777" w:rsidR="001E5C72" w:rsidRPr="001E5C72" w:rsidRDefault="001E5C72" w:rsidP="001E5C72"/>
    <w:p w14:paraId="5CF0E901" w14:textId="3785E331" w:rsidR="00E42FFB" w:rsidRDefault="000055AC" w:rsidP="00387635">
      <w:pPr>
        <w:pStyle w:val="Subtitle"/>
      </w:pPr>
      <w:r>
        <w:t>Overview</w:t>
      </w:r>
    </w:p>
    <w:p w14:paraId="409917D8" w14:textId="597290DE" w:rsidR="000055AC" w:rsidRDefault="000055AC" w:rsidP="000055AC">
      <w:r>
        <w:t xml:space="preserve">SECAS provided an overview of the </w:t>
      </w:r>
      <w:r w:rsidR="00EF5090">
        <w:t xml:space="preserve">current requirements, the </w:t>
      </w:r>
      <w:r>
        <w:t>issue identified by MP</w:t>
      </w:r>
      <w:r w:rsidR="006D37C5">
        <w:t>1</w:t>
      </w:r>
      <w:r w:rsidR="00BF20EE">
        <w:t>1</w:t>
      </w:r>
      <w:r w:rsidR="006D37C5">
        <w:t>6</w:t>
      </w:r>
      <w:r>
        <w:t xml:space="preserve">, </w:t>
      </w:r>
      <w:r w:rsidR="006D37C5">
        <w:t xml:space="preserve">the Proposed Solution and </w:t>
      </w:r>
      <w:r w:rsidR="00EF5090">
        <w:t>further detail was added by the DCC</w:t>
      </w:r>
      <w:r>
        <w:t xml:space="preserve">. </w:t>
      </w:r>
    </w:p>
    <w:p w14:paraId="4C3492B5" w14:textId="77777777" w:rsidR="000055AC" w:rsidRDefault="000055AC" w:rsidP="000055AC">
      <w:r>
        <w:t>Issue:</w:t>
      </w:r>
    </w:p>
    <w:p w14:paraId="7C9B39C6" w14:textId="1B2C6B0B" w:rsidR="000055AC" w:rsidRDefault="00191AA6" w:rsidP="000055AC">
      <w:pPr>
        <w:pStyle w:val="ListParagraph"/>
      </w:pPr>
      <w:r>
        <w:t xml:space="preserve">DCC Users must submit an </w:t>
      </w:r>
      <w:r w:rsidR="00BF20EE">
        <w:t>8-month</w:t>
      </w:r>
      <w:r>
        <w:t xml:space="preserve"> Service Request forecast every quarter.</w:t>
      </w:r>
    </w:p>
    <w:p w14:paraId="6237BB17" w14:textId="0D500114" w:rsidR="00191AA6" w:rsidRDefault="00191AA6" w:rsidP="000055AC">
      <w:pPr>
        <w:pStyle w:val="ListParagraph"/>
      </w:pPr>
      <w:r>
        <w:t>Each forecast takes approximately two days of effort per DCC User.</w:t>
      </w:r>
    </w:p>
    <w:p w14:paraId="51461B21" w14:textId="31562167" w:rsidR="00191AA6" w:rsidRPr="00502F1F" w:rsidRDefault="00191AA6" w:rsidP="000055AC">
      <w:pPr>
        <w:pStyle w:val="ListParagraph"/>
      </w:pPr>
      <w:r>
        <w:t>The forecasts submitted by DCC Users lack the granularity and accuracy to enable the DCC to make meaningful traffic predictions.</w:t>
      </w:r>
    </w:p>
    <w:p w14:paraId="316EA791" w14:textId="77777777" w:rsidR="00E31D79" w:rsidRDefault="00E31D79" w:rsidP="00387635">
      <w:pPr>
        <w:pStyle w:val="Subtitle"/>
      </w:pPr>
      <w:r>
        <w:lastRenderedPageBreak/>
        <w:t>Solution Discussions</w:t>
      </w:r>
    </w:p>
    <w:p w14:paraId="1CC1F4C9" w14:textId="3278D79A" w:rsidR="00490947" w:rsidRDefault="003029F3" w:rsidP="00193AA5">
      <w:r>
        <w:t>The Working Group agreed that the issue was clear and should be resolved</w:t>
      </w:r>
      <w:r w:rsidR="00A367F7">
        <w:t xml:space="preserve"> due to the inaccuracy of the current forecasts submitted.</w:t>
      </w:r>
      <w:r w:rsidR="00B8051A">
        <w:t xml:space="preserve"> The DCC will </w:t>
      </w:r>
      <w:r w:rsidR="00B8051A" w:rsidRPr="00B8051A">
        <w:t>extrapolat</w:t>
      </w:r>
      <w:r w:rsidR="00B8051A">
        <w:t>e</w:t>
      </w:r>
      <w:r w:rsidR="00B8051A" w:rsidRPr="00B8051A">
        <w:t xml:space="preserve"> historic trends and patterns in traffic</w:t>
      </w:r>
      <w:r w:rsidR="00B8051A">
        <w:t xml:space="preserve"> to help improve the level of accuracy in Service Request forecasting</w:t>
      </w:r>
      <w:r w:rsidR="00B8051A" w:rsidRPr="00B8051A">
        <w:t xml:space="preserve">. </w:t>
      </w:r>
      <w:r w:rsidR="00B8051A">
        <w:t>The more accurate reporting is deemed as more effective and efficient than each DCC User submitting their own reports</w:t>
      </w:r>
      <w:r w:rsidR="00B8051A" w:rsidRPr="00B8051A">
        <w:t>.</w:t>
      </w:r>
      <w:r w:rsidR="00B8051A">
        <w:t xml:space="preserve"> This</w:t>
      </w:r>
      <w:r w:rsidR="00BF20EE">
        <w:t>,</w:t>
      </w:r>
      <w:r w:rsidR="00B8051A">
        <w:t xml:space="preserve"> in turn</w:t>
      </w:r>
      <w:r w:rsidR="00BF20EE">
        <w:t>,</w:t>
      </w:r>
      <w:r w:rsidR="00B8051A">
        <w:t xml:space="preserve"> will allow the DCC to make more established suggestions for improvements.</w:t>
      </w:r>
    </w:p>
    <w:p w14:paraId="6DEEC596" w14:textId="7D9AD82A" w:rsidR="00306925" w:rsidRDefault="00A367F7" w:rsidP="00193AA5">
      <w:r>
        <w:t>A Working Grou</w:t>
      </w:r>
      <w:r w:rsidR="00E31E22">
        <w:t>p member requested clarity on how the reporting will work as they have been involved in initial testing and have seen a disparity between the Service Requests they have sent and those recorded by the DCC. The member went on to state that the difference can be very large and has taken this to the Distributor Issues Group (DIG) for discussion. It was added that reporting on critical commands have been found to be more accurate.</w:t>
      </w:r>
      <w:r w:rsidR="00306925">
        <w:t xml:space="preserve"> The DCC confirmed that the aim is to deliver forecasts with a</w:t>
      </w:r>
      <w:r w:rsidR="00153AE7">
        <w:t>n</w:t>
      </w:r>
      <w:r w:rsidR="00306925">
        <w:t xml:space="preserve"> accuracy tolerance of +/- 20%. The DCC commented further that a process will be developed to allow Service Users to feed in intelligence and foresight into the reporting for a higher level of accuracy.</w:t>
      </w:r>
    </w:p>
    <w:p w14:paraId="3FD73C75" w14:textId="12134909" w:rsidR="00D1392B" w:rsidRDefault="00D1392B" w:rsidP="00193AA5">
      <w:r>
        <w:t xml:space="preserve">SECAS provided an overview of the proposed legal text changes. The Working Group agreed that the obligation should be removed from the SEC for DCC Users to produce and submit </w:t>
      </w:r>
      <w:r w:rsidR="00C73AB3">
        <w:t>8-month</w:t>
      </w:r>
      <w:r>
        <w:t xml:space="preserve"> Service Request forecasts each quarter.</w:t>
      </w:r>
      <w:r w:rsidR="0085066D">
        <w:t xml:space="preserve"> </w:t>
      </w:r>
      <w:r w:rsidR="00840110">
        <w:t>A Working Group member requested that an obligation should be placed in the SEC for the DCC to adhere to when producing the STLF, MTLF and LTLF. This will add transparency as to when the forecasts will be made available and where they will be discussed. It was suggested that the DCC should present the forecasts the SEC Panel at their monthly meetings.</w:t>
      </w:r>
    </w:p>
    <w:p w14:paraId="32A8C065" w14:textId="0292C4F6" w:rsidR="00306925" w:rsidRDefault="00306925" w:rsidP="00193AA5">
      <w:r>
        <w:t>The Working Group discussed the proposed next step of issuing the Refinement Consultation. It was agreed that as the report modelling is still undergoing further refinement, SECAS will wait until some reports have been provided which can then be included as part of the consultation.</w:t>
      </w:r>
    </w:p>
    <w:p w14:paraId="776BDF4E" w14:textId="77777777" w:rsidR="00490947" w:rsidRDefault="00490947" w:rsidP="00387635">
      <w:pPr>
        <w:pStyle w:val="Subtitle"/>
      </w:pPr>
      <w:r>
        <w:t>Next Steps</w:t>
      </w:r>
    </w:p>
    <w:p w14:paraId="0062A635" w14:textId="24256CB7" w:rsidR="00490947" w:rsidRDefault="00490947" w:rsidP="00490947">
      <w:pPr>
        <w:rPr>
          <w:szCs w:val="20"/>
        </w:rPr>
      </w:pPr>
      <w:r>
        <w:rPr>
          <w:szCs w:val="20"/>
        </w:rPr>
        <w:t>The following action w</w:t>
      </w:r>
      <w:r w:rsidR="00387635">
        <w:rPr>
          <w:szCs w:val="20"/>
        </w:rPr>
        <w:t>as</w:t>
      </w:r>
      <w:r>
        <w:rPr>
          <w:szCs w:val="20"/>
        </w:rPr>
        <w:t xml:space="preserve"> recorded from the meeting:</w:t>
      </w:r>
    </w:p>
    <w:p w14:paraId="638EDDE6" w14:textId="39C22628" w:rsidR="00490947" w:rsidRDefault="00B8051A" w:rsidP="00490947">
      <w:pPr>
        <w:pStyle w:val="ListParagraph"/>
      </w:pPr>
      <w:r>
        <w:t>DCC to further refine forecasting mechanism including developing a process for DCC Users to feed in intelligence and foresight to bolster the accuracy of the reports produced</w:t>
      </w:r>
      <w:r w:rsidR="00FD1ACC">
        <w:t>.</w:t>
      </w:r>
    </w:p>
    <w:p w14:paraId="620D2A9F" w14:textId="2C89FF76" w:rsidR="00FD1ACC" w:rsidRDefault="00B8051A" w:rsidP="00490947">
      <w:pPr>
        <w:pStyle w:val="ListParagraph"/>
      </w:pPr>
      <w:r>
        <w:t>SECAS will amend the draft legal text to include an obligation for the DCC to produce the reports to a given level of accuracy and delivered at an agreed time</w:t>
      </w:r>
      <w:r w:rsidR="00682B00">
        <w:t>.</w:t>
      </w:r>
    </w:p>
    <w:p w14:paraId="2AD2E36F" w14:textId="77777777" w:rsidR="00490947" w:rsidRDefault="00490947" w:rsidP="00193AA5"/>
    <w:p w14:paraId="5A8E9E81" w14:textId="77777777" w:rsidR="003C08F7" w:rsidRDefault="003C08F7" w:rsidP="003423F3"/>
    <w:p w14:paraId="3C5C9716" w14:textId="77777777" w:rsidR="003C08F7" w:rsidRPr="003423F3" w:rsidRDefault="003C08F7" w:rsidP="003423F3"/>
    <w:sectPr w:rsidR="003C08F7" w:rsidRPr="003423F3" w:rsidSect="00633F6B">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D166" w14:textId="77777777" w:rsidR="00255929" w:rsidRDefault="00255929" w:rsidP="004F458B">
      <w:pPr>
        <w:spacing w:after="0" w:line="240" w:lineRule="auto"/>
      </w:pPr>
      <w:r>
        <w:separator/>
      </w:r>
    </w:p>
  </w:endnote>
  <w:endnote w:type="continuationSeparator" w:id="0">
    <w:p w14:paraId="2C145492" w14:textId="77777777" w:rsidR="00255929" w:rsidRDefault="00255929"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28F8F56D" w14:textId="77777777" w:rsidTr="00B13710">
      <w:trPr>
        <w:trHeight w:val="300"/>
      </w:trPr>
      <w:tc>
        <w:tcPr>
          <w:tcW w:w="2995" w:type="dxa"/>
        </w:tcPr>
        <w:p w14:paraId="2C947513" w14:textId="77777777"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565C2727"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478782" wp14:editId="022673ED">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2856E76C"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0F18E0D4" w14:textId="77777777" w:rsidTr="00800AF2">
      <w:trPr>
        <w:trHeight w:val="540"/>
      </w:trPr>
      <w:tc>
        <w:tcPr>
          <w:tcW w:w="2995" w:type="dxa"/>
        </w:tcPr>
        <w:p w14:paraId="71EC0C3E" w14:textId="20118FC0" w:rsidR="00800AF2" w:rsidRDefault="006B33AA" w:rsidP="000D492D">
          <w:pPr>
            <w:pStyle w:val="Footer"/>
            <w:rPr>
              <w:rFonts w:cs="Arial"/>
              <w:color w:val="595959" w:themeColor="text1" w:themeTint="A6"/>
              <w:sz w:val="16"/>
              <w:szCs w:val="16"/>
            </w:rPr>
          </w:pPr>
          <w:r>
            <w:rPr>
              <w:rFonts w:cs="Arial"/>
              <w:color w:val="595959" w:themeColor="text1" w:themeTint="A6"/>
              <w:sz w:val="16"/>
              <w:szCs w:val="16"/>
            </w:rPr>
            <w:t>MP116</w:t>
          </w:r>
          <w:r w:rsidR="00800AF2">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F8182D">
            <w:rPr>
              <w:rFonts w:cs="Arial"/>
              <w:color w:val="595959" w:themeColor="text1" w:themeTint="A6"/>
              <w:sz w:val="16"/>
              <w:szCs w:val="16"/>
            </w:rPr>
            <w:t>Ju</w:t>
          </w:r>
          <w:r w:rsidR="00682B00">
            <w:rPr>
              <w:rFonts w:cs="Arial"/>
              <w:color w:val="595959" w:themeColor="text1" w:themeTint="A6"/>
              <w:sz w:val="16"/>
              <w:szCs w:val="16"/>
            </w:rPr>
            <w:t>ly</w:t>
          </w:r>
          <w:r w:rsidR="00F8182D">
            <w:rPr>
              <w:rFonts w:cs="Arial"/>
              <w:color w:val="595959" w:themeColor="text1" w:themeTint="A6"/>
              <w:sz w:val="16"/>
              <w:szCs w:val="16"/>
            </w:rPr>
            <w:t xml:space="preserve"> 2020 </w:t>
          </w:r>
          <w:r w:rsidR="00800AF2">
            <w:rPr>
              <w:rFonts w:cs="Arial"/>
              <w:color w:val="595959" w:themeColor="text1" w:themeTint="A6"/>
              <w:sz w:val="16"/>
              <w:szCs w:val="16"/>
            </w:rPr>
            <w:t xml:space="preserve">Working Group </w:t>
          </w:r>
          <w:r w:rsidR="00B13710">
            <w:rPr>
              <w:rFonts w:cs="Arial"/>
              <w:color w:val="595959" w:themeColor="text1" w:themeTint="A6"/>
              <w:sz w:val="16"/>
              <w:szCs w:val="16"/>
            </w:rPr>
            <w:t>m</w:t>
          </w:r>
          <w:r w:rsidR="00800AF2">
            <w:rPr>
              <w:rFonts w:cs="Arial"/>
              <w:color w:val="595959" w:themeColor="text1" w:themeTint="A6"/>
              <w:sz w:val="16"/>
              <w:szCs w:val="16"/>
            </w:rPr>
            <w:t xml:space="preserve">eeting </w:t>
          </w:r>
          <w:r w:rsidR="00B13710">
            <w:rPr>
              <w:rFonts w:cs="Arial"/>
              <w:color w:val="595959" w:themeColor="text1" w:themeTint="A6"/>
              <w:sz w:val="16"/>
              <w:szCs w:val="16"/>
            </w:rPr>
            <w:t>s</w:t>
          </w:r>
          <w:r w:rsidR="00800AF2">
            <w:rPr>
              <w:rFonts w:cs="Arial"/>
              <w:color w:val="595959" w:themeColor="text1" w:themeTint="A6"/>
              <w:sz w:val="16"/>
              <w:szCs w:val="16"/>
            </w:rPr>
            <w:t>ummary</w:t>
          </w:r>
        </w:p>
      </w:tc>
      <w:tc>
        <w:tcPr>
          <w:tcW w:w="3034" w:type="dxa"/>
          <w:vMerge/>
        </w:tcPr>
        <w:p w14:paraId="079EA8D4" w14:textId="77777777" w:rsidR="00800AF2" w:rsidRDefault="00800AF2" w:rsidP="00633F6B">
          <w:pPr>
            <w:pStyle w:val="Footer"/>
            <w:jc w:val="center"/>
            <w:rPr>
              <w:noProof/>
              <w:lang w:eastAsia="en-GB"/>
            </w:rPr>
          </w:pPr>
        </w:p>
      </w:tc>
      <w:tc>
        <w:tcPr>
          <w:tcW w:w="2997" w:type="dxa"/>
        </w:tcPr>
        <w:p w14:paraId="6CBF7BB2"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08F93BBA" w14:textId="77777777" w:rsidR="00800AF2" w:rsidRDefault="00800AF2" w:rsidP="00800AF2">
          <w:pPr>
            <w:pStyle w:val="Footer"/>
            <w:jc w:val="right"/>
            <w:rPr>
              <w:rFonts w:cs="Arial"/>
              <w:color w:val="595959" w:themeColor="text1" w:themeTint="A6"/>
              <w:sz w:val="16"/>
              <w:szCs w:val="16"/>
            </w:rPr>
          </w:pPr>
        </w:p>
        <w:p w14:paraId="5C74FCF3"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875E3BB"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6AAF" w14:textId="77777777" w:rsidR="00255929" w:rsidRDefault="00255929" w:rsidP="004F458B">
      <w:pPr>
        <w:spacing w:after="0" w:line="240" w:lineRule="auto"/>
      </w:pPr>
      <w:r>
        <w:separator/>
      </w:r>
    </w:p>
  </w:footnote>
  <w:footnote w:type="continuationSeparator" w:id="0">
    <w:p w14:paraId="3501188B" w14:textId="77777777" w:rsidR="00255929" w:rsidRDefault="00255929"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9519" w14:textId="77777777" w:rsidR="003E558E" w:rsidRDefault="003E558E" w:rsidP="003E558E">
    <w:pPr>
      <w:pStyle w:val="Header"/>
      <w:jc w:val="right"/>
    </w:pPr>
    <w:r w:rsidRPr="003E558E">
      <w:rPr>
        <w:noProof/>
        <w:lang w:eastAsia="en-GB"/>
      </w:rPr>
      <w:drawing>
        <wp:inline distT="0" distB="0" distL="0" distR="0" wp14:anchorId="182DE48E" wp14:editId="33A5D0C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78A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44B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849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A65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E4C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526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2E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CE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EEE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5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82F29"/>
    <w:multiLevelType w:val="multilevel"/>
    <w:tmpl w:val="CCAEB4D6"/>
    <w:numStyleLink w:val="SECPanelPaperHeadings"/>
  </w:abstractNum>
  <w:abstractNum w:abstractNumId="11" w15:restartNumberingAfterBreak="0">
    <w:nsid w:val="092921F3"/>
    <w:multiLevelType w:val="hybridMultilevel"/>
    <w:tmpl w:val="85FC8572"/>
    <w:lvl w:ilvl="0" w:tplc="93FCAED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657A1D"/>
    <w:multiLevelType w:val="hybridMultilevel"/>
    <w:tmpl w:val="DCBC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77208"/>
    <w:multiLevelType w:val="hybridMultilevel"/>
    <w:tmpl w:val="B4465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4E1821"/>
    <w:multiLevelType w:val="multilevel"/>
    <w:tmpl w:val="CCAEB4D6"/>
    <w:numStyleLink w:val="SECPanelPaperHeadings"/>
  </w:abstractNum>
  <w:abstractNum w:abstractNumId="18" w15:restartNumberingAfterBreak="0">
    <w:nsid w:val="213516B7"/>
    <w:multiLevelType w:val="multilevel"/>
    <w:tmpl w:val="CCAEB4D6"/>
    <w:numStyleLink w:val="SECPanelPaperHeadings"/>
  </w:abstractNum>
  <w:abstractNum w:abstractNumId="19" w15:restartNumberingAfterBreak="0">
    <w:nsid w:val="226F31A3"/>
    <w:multiLevelType w:val="multilevel"/>
    <w:tmpl w:val="CCAEB4D6"/>
    <w:numStyleLink w:val="SECPanelPaperHeadings"/>
  </w:abstractNum>
  <w:abstractNum w:abstractNumId="20" w15:restartNumberingAfterBreak="0">
    <w:nsid w:val="250C00BB"/>
    <w:multiLevelType w:val="hybridMultilevel"/>
    <w:tmpl w:val="C67AABC6"/>
    <w:lvl w:ilvl="0" w:tplc="5E46333C">
      <w:start w:val="1"/>
      <w:numFmt w:val="decimal"/>
      <w:lvlText w:val="%1."/>
      <w:lvlJc w:val="left"/>
      <w:pPr>
        <w:ind w:left="360" w:hanging="360"/>
      </w:pPr>
      <w:rPr>
        <w:bCs w:val="0"/>
        <w:i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1" w15:restartNumberingAfterBreak="0">
    <w:nsid w:val="2D0B3C91"/>
    <w:multiLevelType w:val="hybridMultilevel"/>
    <w:tmpl w:val="8142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10F06"/>
    <w:multiLevelType w:val="multilevel"/>
    <w:tmpl w:val="CCAEB4D6"/>
    <w:numStyleLink w:val="SECPanelPaperHeadings"/>
  </w:abstractNum>
  <w:abstractNum w:abstractNumId="23"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A25672"/>
    <w:multiLevelType w:val="singleLevel"/>
    <w:tmpl w:val="0ED43EA4"/>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abstractNum>
  <w:abstractNum w:abstractNumId="25"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26" w15:restartNumberingAfterBreak="0">
    <w:nsid w:val="57BD47AC"/>
    <w:multiLevelType w:val="hybridMultilevel"/>
    <w:tmpl w:val="B3FAEB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5D816AAE"/>
    <w:multiLevelType w:val="multilevel"/>
    <w:tmpl w:val="A59E4DF2"/>
    <w:lvl w:ilvl="0">
      <w:start w:val="1"/>
      <w:numFmt w:val="decimal"/>
      <w:lvlText w:val="%1."/>
      <w:lvlJc w:val="left"/>
      <w:pPr>
        <w:ind w:left="720" w:hanging="360"/>
      </w:pPr>
      <w:rPr>
        <w:rFonts w:hint="default"/>
        <w:bCs w:val="0"/>
        <w:i w:val="0"/>
        <w:iCs w:val="0"/>
        <w:caps w:val="0"/>
        <w:smallCaps w:val="0"/>
        <w:strike w:val="0"/>
        <w:dstrike w:val="0"/>
        <w:noProof w:val="0"/>
        <w:vanish w:val="0"/>
        <w:kern w:val="0"/>
        <w:position w:val="0"/>
        <w:u w:val="none"/>
        <w:vertAlign w:val="baseline"/>
        <w:em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94512A"/>
    <w:multiLevelType w:val="hybridMultilevel"/>
    <w:tmpl w:val="F29E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079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5D12BE"/>
    <w:multiLevelType w:val="hybridMultilevel"/>
    <w:tmpl w:val="50EC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D2338"/>
    <w:multiLevelType w:val="multilevel"/>
    <w:tmpl w:val="CCAEB4D6"/>
    <w:numStyleLink w:val="SECPanelPaperHeadings"/>
  </w:abstractNum>
  <w:abstractNum w:abstractNumId="32" w15:restartNumberingAfterBreak="0">
    <w:nsid w:val="70111706"/>
    <w:multiLevelType w:val="multilevel"/>
    <w:tmpl w:val="CCAEB4D6"/>
    <w:numStyleLink w:val="SECPanelPaperHeadings"/>
  </w:abstractNum>
  <w:abstractNum w:abstractNumId="33" w15:restartNumberingAfterBreak="0">
    <w:nsid w:val="74430771"/>
    <w:multiLevelType w:val="hybridMultilevel"/>
    <w:tmpl w:val="366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A413F1"/>
    <w:multiLevelType w:val="multilevel"/>
    <w:tmpl w:val="C8EED5CE"/>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none"/>
      <w:isLgl/>
      <w:lvlText w:val="1.1"/>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35" w15:restartNumberingAfterBreak="0">
    <w:nsid w:val="7C603B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177F92"/>
    <w:multiLevelType w:val="hybridMultilevel"/>
    <w:tmpl w:val="920E89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A25C35"/>
    <w:multiLevelType w:val="multilevel"/>
    <w:tmpl w:val="A074256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23"/>
  </w:num>
  <w:num w:numId="2">
    <w:abstractNumId w:val="13"/>
  </w:num>
  <w:num w:numId="3">
    <w:abstractNumId w:val="20"/>
  </w:num>
  <w:num w:numId="4">
    <w:abstractNumId w:val="15"/>
  </w:num>
  <w:num w:numId="5">
    <w:abstractNumId w:val="14"/>
  </w:num>
  <w:num w:numId="6">
    <w:abstractNumId w:val="27"/>
  </w:num>
  <w:num w:numId="7">
    <w:abstractNumId w:val="35"/>
  </w:num>
  <w:num w:numId="8">
    <w:abstractNumId w:val="25"/>
  </w:num>
  <w:num w:numId="9">
    <w:abstractNumId w:val="19"/>
  </w:num>
  <w:num w:numId="10">
    <w:abstractNumId w:val="17"/>
  </w:num>
  <w:num w:numId="11">
    <w:abstractNumId w:val="22"/>
  </w:num>
  <w:num w:numId="12">
    <w:abstractNumId w:val="31"/>
  </w:num>
  <w:num w:numId="13">
    <w:abstractNumId w:val="34"/>
  </w:num>
  <w:num w:numId="14">
    <w:abstractNumId w:val="18"/>
  </w:num>
  <w:num w:numId="15">
    <w:abstractNumId w:val="32"/>
  </w:num>
  <w:num w:numId="16">
    <w:abstractNumId w:val="10"/>
  </w:num>
  <w:num w:numId="17">
    <w:abstractNumId w:val="24"/>
  </w:num>
  <w:num w:numId="18">
    <w:abstractNumId w:val="11"/>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7"/>
  </w:num>
  <w:num w:numId="23">
    <w:abstractNumId w:val="37"/>
    <w:lvlOverride w:ilvl="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Override>
    <w:lvlOverride w:ilvl="1">
      <w:lvl w:ilvl="1">
        <w:start w:val="1"/>
        <w:numFmt w:val="none"/>
        <w:lvlText w:val=""/>
        <w:lvlJc w:val="left"/>
        <w:pPr>
          <w:ind w:left="680" w:hanging="680"/>
        </w:pPr>
        <w:rPr>
          <w:rFonts w:hint="default"/>
        </w:rPr>
      </w:lvl>
    </w:lvlOverride>
    <w:lvlOverride w:ilvl="2">
      <w:lvl w:ilvl="2">
        <w:start w:val="1"/>
        <w:numFmt w:val="lowerRoman"/>
        <w:lvlText w:val="%3."/>
        <w:lvlJc w:val="right"/>
        <w:pPr>
          <w:ind w:left="680" w:hanging="680"/>
        </w:pPr>
        <w:rPr>
          <w:rFonts w:hint="default"/>
        </w:rPr>
      </w:lvl>
    </w:lvlOverride>
    <w:lvlOverride w:ilvl="3">
      <w:lvl w:ilvl="3">
        <w:start w:val="1"/>
        <w:numFmt w:val="decimal"/>
        <w:lvlText w:val="%4."/>
        <w:lvlJc w:val="left"/>
        <w:pPr>
          <w:ind w:left="680" w:hanging="680"/>
        </w:pPr>
        <w:rPr>
          <w:rFonts w:hint="default"/>
        </w:rPr>
      </w:lvl>
    </w:lvlOverride>
    <w:lvlOverride w:ilvl="4">
      <w:lvl w:ilvl="4">
        <w:start w:val="1"/>
        <w:numFmt w:val="lowerLetter"/>
        <w:lvlText w:val="%5."/>
        <w:lvlJc w:val="left"/>
        <w:pPr>
          <w:ind w:left="680" w:hanging="680"/>
        </w:pPr>
        <w:rPr>
          <w:rFonts w:hint="default"/>
        </w:rPr>
      </w:lvl>
    </w:lvlOverride>
    <w:lvlOverride w:ilvl="5">
      <w:lvl w:ilvl="5">
        <w:start w:val="1"/>
        <w:numFmt w:val="lowerRoman"/>
        <w:lvlText w:val="%6."/>
        <w:lvlJc w:val="right"/>
        <w:pPr>
          <w:ind w:left="680" w:hanging="680"/>
        </w:pPr>
        <w:rPr>
          <w:rFonts w:hint="default"/>
        </w:rPr>
      </w:lvl>
    </w:lvlOverride>
    <w:lvlOverride w:ilvl="6">
      <w:lvl w:ilvl="6">
        <w:start w:val="1"/>
        <w:numFmt w:val="decimal"/>
        <w:lvlText w:val="%7."/>
        <w:lvlJc w:val="left"/>
        <w:pPr>
          <w:ind w:left="680" w:hanging="680"/>
        </w:pPr>
        <w:rPr>
          <w:rFonts w:hint="default"/>
        </w:rPr>
      </w:lvl>
    </w:lvlOverride>
    <w:lvlOverride w:ilvl="7">
      <w:lvl w:ilvl="7">
        <w:start w:val="1"/>
        <w:numFmt w:val="lowerLetter"/>
        <w:lvlText w:val="%8."/>
        <w:lvlJc w:val="left"/>
        <w:pPr>
          <w:ind w:left="680" w:hanging="680"/>
        </w:pPr>
        <w:rPr>
          <w:rFonts w:hint="default"/>
        </w:rPr>
      </w:lvl>
    </w:lvlOverride>
    <w:lvlOverride w:ilvl="8">
      <w:lvl w:ilvl="8">
        <w:start w:val="1"/>
        <w:numFmt w:val="lowerRoman"/>
        <w:lvlText w:val="%9."/>
        <w:lvlJc w:val="right"/>
        <w:pPr>
          <w:ind w:left="680" w:hanging="680"/>
        </w:pPr>
        <w:rPr>
          <w:rFonts w:hint="default"/>
        </w:rPr>
      </w:lvl>
    </w:lvlOverride>
  </w:num>
  <w:num w:numId="24">
    <w:abstractNumId w:val="37"/>
    <w:lvlOverride w:ilvl="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680" w:hanging="680"/>
        </w:pPr>
        <w:rPr>
          <w:rFonts w:hint="default"/>
        </w:rPr>
      </w:lvl>
    </w:lvlOverride>
    <w:lvlOverride w:ilvl="3">
      <w:lvl w:ilvl="3">
        <w:start w:val="1"/>
        <w:numFmt w:val="decimal"/>
        <w:lvlText w:val="%4."/>
        <w:lvlJc w:val="left"/>
        <w:pPr>
          <w:ind w:left="680" w:hanging="680"/>
        </w:pPr>
        <w:rPr>
          <w:rFonts w:hint="default"/>
        </w:rPr>
      </w:lvl>
    </w:lvlOverride>
    <w:lvlOverride w:ilvl="4">
      <w:lvl w:ilvl="4">
        <w:start w:val="1"/>
        <w:numFmt w:val="lowerLetter"/>
        <w:lvlText w:val="%5."/>
        <w:lvlJc w:val="left"/>
        <w:pPr>
          <w:ind w:left="680" w:hanging="680"/>
        </w:pPr>
        <w:rPr>
          <w:rFonts w:hint="default"/>
        </w:rPr>
      </w:lvl>
    </w:lvlOverride>
    <w:lvlOverride w:ilvl="5">
      <w:lvl w:ilvl="5">
        <w:start w:val="1"/>
        <w:numFmt w:val="lowerRoman"/>
        <w:lvlText w:val="%6."/>
        <w:lvlJc w:val="right"/>
        <w:pPr>
          <w:ind w:left="680" w:hanging="680"/>
        </w:pPr>
        <w:rPr>
          <w:rFonts w:hint="default"/>
        </w:rPr>
      </w:lvl>
    </w:lvlOverride>
    <w:lvlOverride w:ilvl="6">
      <w:lvl w:ilvl="6">
        <w:start w:val="1"/>
        <w:numFmt w:val="decimal"/>
        <w:lvlText w:val="%7."/>
        <w:lvlJc w:val="left"/>
        <w:pPr>
          <w:ind w:left="680" w:hanging="680"/>
        </w:pPr>
        <w:rPr>
          <w:rFonts w:hint="default"/>
        </w:rPr>
      </w:lvl>
    </w:lvlOverride>
    <w:lvlOverride w:ilvl="7">
      <w:lvl w:ilvl="7">
        <w:start w:val="1"/>
        <w:numFmt w:val="lowerLetter"/>
        <w:lvlText w:val="%8."/>
        <w:lvlJc w:val="left"/>
        <w:pPr>
          <w:ind w:left="680" w:hanging="680"/>
        </w:pPr>
        <w:rPr>
          <w:rFonts w:hint="default"/>
        </w:rPr>
      </w:lvl>
    </w:lvlOverride>
    <w:lvlOverride w:ilvl="8">
      <w:lvl w:ilvl="8">
        <w:start w:val="1"/>
        <w:numFmt w:val="lowerRoman"/>
        <w:lvlText w:val="%9."/>
        <w:lvlJc w:val="right"/>
        <w:pPr>
          <w:ind w:left="680" w:hanging="680"/>
        </w:pPr>
        <w:rPr>
          <w:rFonts w:hint="default"/>
        </w:rPr>
      </w:lvl>
    </w:lvlOverride>
  </w:num>
  <w:num w:numId="25">
    <w:abstractNumId w:val="37"/>
  </w:num>
  <w:num w:numId="26">
    <w:abstractNumId w:val="33"/>
  </w:num>
  <w:num w:numId="27">
    <w:abstractNumId w:val="1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0"/>
  </w:num>
  <w:num w:numId="41">
    <w:abstractNumId w:val="36"/>
  </w:num>
  <w:num w:numId="42">
    <w:abstractNumId w:val="21"/>
  </w:num>
  <w:num w:numId="43">
    <w:abstractNumId w:val="15"/>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9"/>
    <w:rsid w:val="000055AC"/>
    <w:rsid w:val="00020BA4"/>
    <w:rsid w:val="00055297"/>
    <w:rsid w:val="00057CF0"/>
    <w:rsid w:val="00067AFA"/>
    <w:rsid w:val="00075828"/>
    <w:rsid w:val="00091612"/>
    <w:rsid w:val="000B30A4"/>
    <w:rsid w:val="000B4FAB"/>
    <w:rsid w:val="000C49C1"/>
    <w:rsid w:val="000C5748"/>
    <w:rsid w:val="000D0828"/>
    <w:rsid w:val="000D492D"/>
    <w:rsid w:val="000E6A3C"/>
    <w:rsid w:val="000E6DD9"/>
    <w:rsid w:val="000F4376"/>
    <w:rsid w:val="00102237"/>
    <w:rsid w:val="0010448B"/>
    <w:rsid w:val="00152E20"/>
    <w:rsid w:val="00153AE7"/>
    <w:rsid w:val="0015743D"/>
    <w:rsid w:val="001855DA"/>
    <w:rsid w:val="00191AA6"/>
    <w:rsid w:val="00192FAC"/>
    <w:rsid w:val="00193AA5"/>
    <w:rsid w:val="00196A93"/>
    <w:rsid w:val="001C32E8"/>
    <w:rsid w:val="001E4249"/>
    <w:rsid w:val="001E5C72"/>
    <w:rsid w:val="002357F7"/>
    <w:rsid w:val="0024177C"/>
    <w:rsid w:val="00251BB8"/>
    <w:rsid w:val="00251E29"/>
    <w:rsid w:val="00255929"/>
    <w:rsid w:val="00267F7B"/>
    <w:rsid w:val="00283D8C"/>
    <w:rsid w:val="002A0870"/>
    <w:rsid w:val="002A46ED"/>
    <w:rsid w:val="002A76CA"/>
    <w:rsid w:val="002E0EC9"/>
    <w:rsid w:val="002F1749"/>
    <w:rsid w:val="002F2338"/>
    <w:rsid w:val="002F39BD"/>
    <w:rsid w:val="003029F3"/>
    <w:rsid w:val="00306925"/>
    <w:rsid w:val="00306C4B"/>
    <w:rsid w:val="003103AF"/>
    <w:rsid w:val="00331B41"/>
    <w:rsid w:val="00332631"/>
    <w:rsid w:val="003423F3"/>
    <w:rsid w:val="003425F2"/>
    <w:rsid w:val="00347F6A"/>
    <w:rsid w:val="00387635"/>
    <w:rsid w:val="00391B14"/>
    <w:rsid w:val="003935E6"/>
    <w:rsid w:val="003A556D"/>
    <w:rsid w:val="003C08F7"/>
    <w:rsid w:val="003C1DF0"/>
    <w:rsid w:val="003D4B63"/>
    <w:rsid w:val="003E558E"/>
    <w:rsid w:val="00404C8C"/>
    <w:rsid w:val="004170C6"/>
    <w:rsid w:val="00422CAF"/>
    <w:rsid w:val="0043667E"/>
    <w:rsid w:val="00441D82"/>
    <w:rsid w:val="00463094"/>
    <w:rsid w:val="00471CC6"/>
    <w:rsid w:val="00490947"/>
    <w:rsid w:val="004D00F1"/>
    <w:rsid w:val="004D380A"/>
    <w:rsid w:val="004E1DB7"/>
    <w:rsid w:val="004F458B"/>
    <w:rsid w:val="00530099"/>
    <w:rsid w:val="00551CC4"/>
    <w:rsid w:val="00552455"/>
    <w:rsid w:val="005613A7"/>
    <w:rsid w:val="00564EBA"/>
    <w:rsid w:val="00571E51"/>
    <w:rsid w:val="005776F4"/>
    <w:rsid w:val="005F65BB"/>
    <w:rsid w:val="0060781C"/>
    <w:rsid w:val="006240A4"/>
    <w:rsid w:val="006256DB"/>
    <w:rsid w:val="00633F6B"/>
    <w:rsid w:val="0064797F"/>
    <w:rsid w:val="0065625F"/>
    <w:rsid w:val="00661BA9"/>
    <w:rsid w:val="0068082B"/>
    <w:rsid w:val="00682B00"/>
    <w:rsid w:val="0069226B"/>
    <w:rsid w:val="006B0D39"/>
    <w:rsid w:val="006B1076"/>
    <w:rsid w:val="006B1B0C"/>
    <w:rsid w:val="006B33AA"/>
    <w:rsid w:val="006D1654"/>
    <w:rsid w:val="006D37C5"/>
    <w:rsid w:val="006D3E3A"/>
    <w:rsid w:val="006E5908"/>
    <w:rsid w:val="00712849"/>
    <w:rsid w:val="00744B12"/>
    <w:rsid w:val="00747040"/>
    <w:rsid w:val="00783DBF"/>
    <w:rsid w:val="00793FD4"/>
    <w:rsid w:val="007A4826"/>
    <w:rsid w:val="007A5CA3"/>
    <w:rsid w:val="007B5EE6"/>
    <w:rsid w:val="007B6A3F"/>
    <w:rsid w:val="007E58E4"/>
    <w:rsid w:val="007E6ECB"/>
    <w:rsid w:val="00800AF2"/>
    <w:rsid w:val="00801B5E"/>
    <w:rsid w:val="00810F76"/>
    <w:rsid w:val="00811994"/>
    <w:rsid w:val="00840110"/>
    <w:rsid w:val="0085066D"/>
    <w:rsid w:val="00855057"/>
    <w:rsid w:val="0086220C"/>
    <w:rsid w:val="00862303"/>
    <w:rsid w:val="008738E4"/>
    <w:rsid w:val="00881CA8"/>
    <w:rsid w:val="00893153"/>
    <w:rsid w:val="0089731C"/>
    <w:rsid w:val="008A01C2"/>
    <w:rsid w:val="008C0612"/>
    <w:rsid w:val="009301EC"/>
    <w:rsid w:val="00962B86"/>
    <w:rsid w:val="00964CD2"/>
    <w:rsid w:val="00971D14"/>
    <w:rsid w:val="00991C2D"/>
    <w:rsid w:val="009931E7"/>
    <w:rsid w:val="009A7772"/>
    <w:rsid w:val="009D56D8"/>
    <w:rsid w:val="009E14DA"/>
    <w:rsid w:val="00A07DC7"/>
    <w:rsid w:val="00A16AF3"/>
    <w:rsid w:val="00A367F7"/>
    <w:rsid w:val="00A54644"/>
    <w:rsid w:val="00A75FD0"/>
    <w:rsid w:val="00A81107"/>
    <w:rsid w:val="00AC1347"/>
    <w:rsid w:val="00AF7F93"/>
    <w:rsid w:val="00B02B31"/>
    <w:rsid w:val="00B13710"/>
    <w:rsid w:val="00B13A0A"/>
    <w:rsid w:val="00B242DE"/>
    <w:rsid w:val="00B40A97"/>
    <w:rsid w:val="00B8051A"/>
    <w:rsid w:val="00B80B19"/>
    <w:rsid w:val="00B943CC"/>
    <w:rsid w:val="00BC2A21"/>
    <w:rsid w:val="00BD1C03"/>
    <w:rsid w:val="00BD2ADD"/>
    <w:rsid w:val="00BD70A6"/>
    <w:rsid w:val="00BD742D"/>
    <w:rsid w:val="00BF20EE"/>
    <w:rsid w:val="00C420BA"/>
    <w:rsid w:val="00C43704"/>
    <w:rsid w:val="00C46C5F"/>
    <w:rsid w:val="00C73AB3"/>
    <w:rsid w:val="00CA1D8C"/>
    <w:rsid w:val="00CC5FB4"/>
    <w:rsid w:val="00CE018A"/>
    <w:rsid w:val="00D1392B"/>
    <w:rsid w:val="00D15D55"/>
    <w:rsid w:val="00D31291"/>
    <w:rsid w:val="00D356AD"/>
    <w:rsid w:val="00D63701"/>
    <w:rsid w:val="00D70ECB"/>
    <w:rsid w:val="00D9647C"/>
    <w:rsid w:val="00DA1B1A"/>
    <w:rsid w:val="00DB0807"/>
    <w:rsid w:val="00E1288E"/>
    <w:rsid w:val="00E1536A"/>
    <w:rsid w:val="00E3126E"/>
    <w:rsid w:val="00E31D79"/>
    <w:rsid w:val="00E31E22"/>
    <w:rsid w:val="00E35AA8"/>
    <w:rsid w:val="00E42FFB"/>
    <w:rsid w:val="00E4508B"/>
    <w:rsid w:val="00E454BA"/>
    <w:rsid w:val="00E45760"/>
    <w:rsid w:val="00E5727E"/>
    <w:rsid w:val="00E84A70"/>
    <w:rsid w:val="00EA6D48"/>
    <w:rsid w:val="00EE33BF"/>
    <w:rsid w:val="00EF5090"/>
    <w:rsid w:val="00F0008C"/>
    <w:rsid w:val="00F3046D"/>
    <w:rsid w:val="00F43C74"/>
    <w:rsid w:val="00F47D15"/>
    <w:rsid w:val="00F57FE2"/>
    <w:rsid w:val="00F635A3"/>
    <w:rsid w:val="00F76EC5"/>
    <w:rsid w:val="00F8182D"/>
    <w:rsid w:val="00FC5CC6"/>
    <w:rsid w:val="00FD1ACC"/>
    <w:rsid w:val="00FD5A59"/>
    <w:rsid w:val="00FE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745116"/>
  <w15:docId w15:val="{0D1332B5-571F-43E5-94C3-43F081D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387635"/>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387635"/>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4"/>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8"/>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19"/>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CommentReference">
    <w:name w:val="annotation reference"/>
    <w:basedOn w:val="DefaultParagraphFont"/>
    <w:uiPriority w:val="99"/>
    <w:semiHidden/>
    <w:unhideWhenUsed/>
    <w:rsid w:val="00810F76"/>
    <w:rPr>
      <w:sz w:val="16"/>
      <w:szCs w:val="16"/>
    </w:rPr>
  </w:style>
  <w:style w:type="paragraph" w:styleId="CommentText">
    <w:name w:val="annotation text"/>
    <w:basedOn w:val="Normal"/>
    <w:link w:val="CommentTextChar"/>
    <w:uiPriority w:val="99"/>
    <w:semiHidden/>
    <w:unhideWhenUsed/>
    <w:rsid w:val="00810F76"/>
    <w:pPr>
      <w:spacing w:line="240" w:lineRule="auto"/>
    </w:pPr>
    <w:rPr>
      <w:szCs w:val="20"/>
    </w:rPr>
  </w:style>
  <w:style w:type="character" w:customStyle="1" w:styleId="CommentTextChar">
    <w:name w:val="Comment Text Char"/>
    <w:basedOn w:val="DefaultParagraphFont"/>
    <w:link w:val="CommentText"/>
    <w:uiPriority w:val="99"/>
    <w:semiHidden/>
    <w:rsid w:val="00810F7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0F76"/>
    <w:rPr>
      <w:b/>
      <w:bCs/>
    </w:rPr>
  </w:style>
  <w:style w:type="character" w:customStyle="1" w:styleId="CommentSubjectChar">
    <w:name w:val="Comment Subject Char"/>
    <w:basedOn w:val="CommentTextChar"/>
    <w:link w:val="CommentSubject"/>
    <w:uiPriority w:val="99"/>
    <w:semiHidden/>
    <w:rsid w:val="00810F76"/>
    <w:rPr>
      <w:rFonts w:ascii="Arial" w:hAnsi="Arial"/>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rasco.co.uk\root\Clients\SECCo\05%20-%20Modifications\Templates\01%20-%20Documents\03%20-%20Refine%20Stage%20documents\05%20-%20Working%20Group\Working%20Group%20Meeting%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85C8-F546-4FB1-80A5-E94901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Group Meeting Summary Template</Template>
  <TotalTime>236</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MP116 - Working Group meeting summary</vt:lpstr>
    </vt:vector>
  </TitlesOfParts>
  <Company>Gemserv</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MP116 - Working Group meeting summary</dc:title>
  <dc:creator>Bradley Baker</dc:creator>
  <cp:lastModifiedBy>Bradley Baker</cp:lastModifiedBy>
  <cp:revision>7</cp:revision>
  <dcterms:created xsi:type="dcterms:W3CDTF">2020-07-01T12:04:00Z</dcterms:created>
  <dcterms:modified xsi:type="dcterms:W3CDTF">2020-07-03T15:01:00Z</dcterms:modified>
</cp:coreProperties>
</file>