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D53B57" w14:textId="3CBC8EFF" w:rsidR="00414A08" w:rsidRDefault="00897C69" w:rsidP="00DB0807">
      <w:pPr>
        <w:rPr>
          <w:b/>
          <w:color w:val="007C31"/>
          <w:sz w:val="48"/>
          <w:szCs w:val="48"/>
        </w:rPr>
      </w:pPr>
      <w:r>
        <w:rPr>
          <w:noProof/>
          <w:lang w:eastAsia="en-GB"/>
        </w:rPr>
        <mc:AlternateContent>
          <mc:Choice Requires="wps">
            <w:drawing>
              <wp:anchor distT="45720" distB="45720" distL="114300" distR="114300" simplePos="0" relativeHeight="251670528" behindDoc="0" locked="0" layoutInCell="1" allowOverlap="1" wp14:anchorId="3AD84F8A" wp14:editId="1770253F">
                <wp:simplePos x="0" y="0"/>
                <wp:positionH relativeFrom="margin">
                  <wp:posOffset>22860</wp:posOffset>
                </wp:positionH>
                <wp:positionV relativeFrom="paragraph">
                  <wp:posOffset>0</wp:posOffset>
                </wp:positionV>
                <wp:extent cx="5770880" cy="419100"/>
                <wp:effectExtent l="0" t="0" r="2032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0880" cy="419100"/>
                        </a:xfrm>
                        <a:prstGeom prst="rect">
                          <a:avLst/>
                        </a:prstGeom>
                        <a:solidFill>
                          <a:srgbClr val="FFFFFF"/>
                        </a:solidFill>
                        <a:ln w="9525">
                          <a:solidFill>
                            <a:srgbClr val="000000"/>
                          </a:solidFill>
                          <a:miter lim="800000"/>
                          <a:headEnd/>
                          <a:tailEnd/>
                        </a:ln>
                      </wps:spPr>
                      <wps:txbx>
                        <w:txbxContent>
                          <w:p w14:paraId="5189FD69" w14:textId="77777777" w:rsidR="00897C69" w:rsidRPr="001606E0" w:rsidRDefault="00897C69" w:rsidP="00897C69">
                            <w:r w:rsidRPr="002C642C">
                              <w:rPr>
                                <w:rFonts w:cs="Arial"/>
                              </w:rPr>
                              <w:t xml:space="preserve">This document is classified as </w:t>
                            </w:r>
                            <w:r w:rsidRPr="002C642C">
                              <w:rPr>
                                <w:rFonts w:cs="Arial"/>
                                <w:b/>
                              </w:rPr>
                              <w:t xml:space="preserve">White </w:t>
                            </w:r>
                            <w:r w:rsidRPr="002C642C">
                              <w:rPr>
                                <w:rFonts w:cs="Arial"/>
                              </w:rPr>
                              <w:t>in accordance with the Panel Information Policy. Information can be shared with the public</w:t>
                            </w:r>
                            <w:r>
                              <w:rPr>
                                <w:rFonts w:cs="Arial"/>
                              </w:rPr>
                              <w:t>,</w:t>
                            </w:r>
                            <w:r w:rsidRPr="002C642C">
                              <w:rPr>
                                <w:rFonts w:cs="Arial"/>
                              </w:rPr>
                              <w:t xml:space="preserve"> and any members may publish the information, subject to copyright</w:t>
                            </w:r>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AD84F8A" id="_x0000_t202" coordsize="21600,21600" o:spt="202" path="m,l,21600r21600,l21600,xe">
                <v:stroke joinstyle="miter"/>
                <v:path gradientshapeok="t" o:connecttype="rect"/>
              </v:shapetype>
              <v:shape id="Text Box 2" o:spid="_x0000_s1026" type="#_x0000_t202" style="position:absolute;margin-left:1.8pt;margin-top:0;width:454.4pt;height:33pt;z-index:2516705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">
                <v:textbox>
                  <w:txbxContent>
                    <w:p w14:paraId="5189FD69" w14:textId="77777777" w:rsidR="00897C69" w:rsidRPr="001606E0" w:rsidRDefault="00897C69" w:rsidP="00897C69">
                      <w:r w:rsidRPr="002C642C">
                        <w:rPr>
                          <w:rFonts w:cs="Arial"/>
                        </w:rPr>
                        <w:t xml:space="preserve">This document is classified as </w:t>
                      </w:r>
                      <w:r w:rsidRPr="002C642C">
                        <w:rPr>
                          <w:rFonts w:cs="Arial"/>
                          <w:b/>
                        </w:rPr>
                        <w:t xml:space="preserve">White </w:t>
                      </w:r>
                      <w:r w:rsidRPr="002C642C">
                        <w:rPr>
                          <w:rFonts w:cs="Arial"/>
                        </w:rPr>
                        <w:t>in accordance with the Panel Information Policy. Information can be shared with the public</w:t>
                      </w:r>
                      <w:r>
                        <w:rPr>
                          <w:rFonts w:cs="Arial"/>
                        </w:rPr>
                        <w:t>,</w:t>
                      </w:r>
                      <w:r w:rsidRPr="002C642C">
                        <w:rPr>
                          <w:rFonts w:cs="Arial"/>
                        </w:rPr>
                        <w:t xml:space="preserve"> and any members may publish the information, subject to copyright</w:t>
                      </w:r>
                      <w:r>
                        <w:t xml:space="preserve">. </w:t>
                      </w:r>
                    </w:p>
                  </w:txbxContent>
                </v:textbox>
                <w10:wrap type="square" anchorx="margin"/>
              </v:shape>
            </w:pict>
          </mc:Fallback>
        </mc:AlternateContent>
      </w:r>
      <w:r w:rsidR="00D807BF">
        <w:rPr>
          <w:b/>
          <w:color w:val="007C31"/>
          <w:sz w:val="48"/>
          <w:szCs w:val="48"/>
        </w:rPr>
        <w:t>MP</w:t>
      </w:r>
      <w:r w:rsidR="00695374">
        <w:rPr>
          <w:b/>
          <w:color w:val="007C31"/>
          <w:sz w:val="48"/>
          <w:szCs w:val="48"/>
        </w:rPr>
        <w:t>106</w:t>
      </w:r>
      <w:r w:rsidR="00D807BF">
        <w:rPr>
          <w:b/>
          <w:color w:val="007C31"/>
          <w:sz w:val="48"/>
          <w:szCs w:val="48"/>
        </w:rPr>
        <w:t xml:space="preserve"> ‘</w:t>
      </w:r>
      <w:r w:rsidR="00695374">
        <w:rPr>
          <w:b/>
          <w:color w:val="007C31"/>
          <w:sz w:val="48"/>
          <w:szCs w:val="48"/>
        </w:rPr>
        <w:t>CHI</w:t>
      </w:r>
      <w:r w:rsidR="006E2D92">
        <w:rPr>
          <w:b/>
          <w:color w:val="007C31"/>
          <w:sz w:val="48"/>
          <w:szCs w:val="48"/>
        </w:rPr>
        <w:t>M</w:t>
      </w:r>
      <w:r w:rsidR="00695374">
        <w:rPr>
          <w:b/>
          <w:color w:val="007C31"/>
          <w:sz w:val="48"/>
          <w:szCs w:val="48"/>
        </w:rPr>
        <w:t>SM update for Unknown WAN Variant</w:t>
      </w:r>
      <w:r w:rsidR="00D807BF">
        <w:rPr>
          <w:b/>
          <w:color w:val="007C31"/>
          <w:sz w:val="48"/>
          <w:szCs w:val="48"/>
        </w:rPr>
        <w:t>’</w:t>
      </w:r>
    </w:p>
    <w:p w14:paraId="6C523525" w14:textId="0315A9F6" w:rsidR="00D807BF" w:rsidRPr="00C30802" w:rsidRDefault="00D72A5F" w:rsidP="00DB0807">
      <w:pPr>
        <w:rPr>
          <w:b/>
          <w:color w:val="007C31"/>
          <w:sz w:val="48"/>
          <w:szCs w:val="48"/>
        </w:rPr>
      </w:pPr>
      <w:r>
        <w:rPr>
          <w:b/>
          <w:color w:val="007C31"/>
          <w:sz w:val="48"/>
          <w:szCs w:val="48"/>
        </w:rPr>
        <w:t>Conclusions Report</w:t>
      </w:r>
      <w:r w:rsidR="00524E22">
        <w:rPr>
          <w:b/>
          <w:color w:val="007C31"/>
          <w:sz w:val="48"/>
          <w:szCs w:val="48"/>
        </w:rPr>
        <w:t xml:space="preserve"> – version </w:t>
      </w:r>
      <w:r w:rsidR="00695374">
        <w:rPr>
          <w:b/>
          <w:color w:val="007C31"/>
          <w:sz w:val="48"/>
          <w:szCs w:val="48"/>
        </w:rPr>
        <w:t>1</w:t>
      </w:r>
      <w:r w:rsidR="00F05EC7">
        <w:rPr>
          <w:b/>
          <w:color w:val="007C31"/>
          <w:sz w:val="48"/>
          <w:szCs w:val="48"/>
        </w:rPr>
        <w:t>.0</w:t>
      </w:r>
    </w:p>
    <w:p w14:paraId="28CDC3A8" w14:textId="77777777" w:rsidR="00D807BF" w:rsidRDefault="00D807BF" w:rsidP="00D807BF">
      <w:pPr>
        <w:pStyle w:val="Subtitle"/>
      </w:pPr>
      <w:r>
        <w:t>About this document</w:t>
      </w:r>
    </w:p>
    <w:p w14:paraId="78D7CE22" w14:textId="2B1985DD" w:rsidR="00D72A5F" w:rsidRDefault="00D72A5F" w:rsidP="002A7613">
      <w:r w:rsidRPr="00D72A5F">
        <w:t xml:space="preserve">This document </w:t>
      </w:r>
      <w:r>
        <w:t>summarises</w:t>
      </w:r>
      <w:r w:rsidRPr="00D72A5F">
        <w:t xml:space="preserve"> the responses received to the </w:t>
      </w:r>
      <w:r>
        <w:t>Modification Report</w:t>
      </w:r>
      <w:r w:rsidRPr="00D72A5F">
        <w:t xml:space="preserve"> Consultation</w:t>
      </w:r>
      <w:r w:rsidR="00F05EC7">
        <w:t xml:space="preserve"> </w:t>
      </w:r>
      <w:r w:rsidR="00F05EC7" w:rsidRPr="00D72A5F">
        <w:t xml:space="preserve">and the decision of the Change Board regarding approval or rejection of this </w:t>
      </w:r>
      <w:r w:rsidR="00F05EC7">
        <w:t>modification</w:t>
      </w:r>
      <w:r w:rsidRPr="00D72A5F">
        <w:t xml:space="preserve">. </w:t>
      </w:r>
    </w:p>
    <w:p w14:paraId="04EDDE5D" w14:textId="77777777" w:rsidR="00160C92" w:rsidRDefault="00160C92" w:rsidP="002A7613"/>
    <w:p w14:paraId="0A0BE0D8" w14:textId="77777777" w:rsidR="00D72A5F" w:rsidRDefault="00AC0DFC" w:rsidP="00D72A5F">
      <w:pPr>
        <w:pStyle w:val="Subtitle"/>
      </w:pPr>
      <w:r>
        <w:t>Summary of conclusions</w:t>
      </w:r>
    </w:p>
    <w:p w14:paraId="759C2FFF" w14:textId="77777777" w:rsidR="005818EB" w:rsidRDefault="005818EB" w:rsidP="005818EB">
      <w:pPr>
        <w:pStyle w:val="Heading2"/>
      </w:pPr>
      <w:r>
        <w:t>Change Board</w:t>
      </w:r>
    </w:p>
    <w:p w14:paraId="03EA463F" w14:textId="0B93BEE6" w:rsidR="005818EB" w:rsidRDefault="005818EB" w:rsidP="005818EB">
      <w:r>
        <w:t xml:space="preserve">The Change Board voted to </w:t>
      </w:r>
      <w:r w:rsidRPr="005818EB">
        <w:rPr>
          <w:b/>
        </w:rPr>
        <w:t>approve</w:t>
      </w:r>
      <w:r>
        <w:t xml:space="preserve"> MP106. It believed the modification better facilitate</w:t>
      </w:r>
      <w:r w:rsidR="00F05EC7">
        <w:t>d</w:t>
      </w:r>
      <w:r>
        <w:t xml:space="preserve"> SEC Objective (a),</w:t>
      </w:r>
      <w:r w:rsidR="00D107F7">
        <w:t xml:space="preserve"> with minority support under Objectives</w:t>
      </w:r>
      <w:r>
        <w:t xml:space="preserve"> (c) an</w:t>
      </w:r>
      <w:r w:rsidR="00F05EC7">
        <w:t>d</w:t>
      </w:r>
      <w:r>
        <w:t xml:space="preserve"> (g).</w:t>
      </w:r>
    </w:p>
    <w:p w14:paraId="4E96432F" w14:textId="77777777" w:rsidR="005818EB" w:rsidRDefault="005818EB" w:rsidP="00D107F7"/>
    <w:p w14:paraId="4CD33E2D" w14:textId="3299BA8B" w:rsidR="00AC0DFC" w:rsidRDefault="00AC0DFC" w:rsidP="00AC0DFC">
      <w:pPr>
        <w:pStyle w:val="Heading2"/>
      </w:pPr>
      <w:r>
        <w:t>Modification Report Consultation</w:t>
      </w:r>
    </w:p>
    <w:p w14:paraId="5F052275" w14:textId="6D03FF25" w:rsidR="00AC0DFC" w:rsidRDefault="00293453" w:rsidP="00AC0DFC">
      <w:r>
        <w:t>F</w:t>
      </w:r>
      <w:r w:rsidR="00684159">
        <w:t>our</w:t>
      </w:r>
      <w:r w:rsidR="00AC0DFC" w:rsidRPr="00AC0DFC">
        <w:t xml:space="preserve"> responses </w:t>
      </w:r>
      <w:r>
        <w:t xml:space="preserve">were received </w:t>
      </w:r>
      <w:r w:rsidR="00AC0DFC" w:rsidRPr="00AC0DFC">
        <w:t xml:space="preserve">to the </w:t>
      </w:r>
      <w:r w:rsidR="00AC0DFC">
        <w:t>Modification Report Consultation.</w:t>
      </w:r>
      <w:r w:rsidR="00AC0DFC" w:rsidRPr="00AC0DFC">
        <w:t xml:space="preserve"> </w:t>
      </w:r>
      <w:r w:rsidR="00684159">
        <w:t>Three</w:t>
      </w:r>
      <w:r w:rsidR="00AC0DFC" w:rsidRPr="00AC0DFC">
        <w:t xml:space="preserve"> believe the </w:t>
      </w:r>
      <w:r w:rsidR="00AC0DFC">
        <w:t>modification</w:t>
      </w:r>
      <w:r w:rsidR="00AC0DFC" w:rsidRPr="00AC0DFC">
        <w:t xml:space="preserve"> should be </w:t>
      </w:r>
      <w:r w:rsidR="00AC0DFC" w:rsidRPr="00684159">
        <w:t>approved. They</w:t>
      </w:r>
      <w:r w:rsidR="00AC0DFC" w:rsidRPr="00AC0DFC">
        <w:t xml:space="preserve"> </w:t>
      </w:r>
      <w:r w:rsidR="00AC0DFC">
        <w:t>considered</w:t>
      </w:r>
      <w:r w:rsidR="00AC0DFC" w:rsidRPr="00AC0DFC">
        <w:t xml:space="preserve"> the </w:t>
      </w:r>
      <w:r w:rsidR="00AC0DFC">
        <w:t>modification</w:t>
      </w:r>
      <w:r w:rsidR="00AC0DFC" w:rsidRPr="00AC0DFC">
        <w:t xml:space="preserve"> better facilitate</w:t>
      </w:r>
      <w:r w:rsidR="00684159">
        <w:t>s</w:t>
      </w:r>
      <w:r w:rsidR="00AC0DFC" w:rsidRPr="00AC0DFC">
        <w:t xml:space="preserve"> </w:t>
      </w:r>
      <w:r w:rsidR="00AC0DFC">
        <w:t>SEC</w:t>
      </w:r>
      <w:r w:rsidR="00AC0DFC" w:rsidRPr="00AC0DFC">
        <w:t xml:space="preserve"> </w:t>
      </w:r>
      <w:r w:rsidR="00AC0DFC">
        <w:t>O</w:t>
      </w:r>
      <w:r w:rsidR="00AC0DFC" w:rsidRPr="00AC0DFC">
        <w:t>bjectives</w:t>
      </w:r>
      <w:r w:rsidR="00684159">
        <w:t xml:space="preserve"> (a), (c) and (g).</w:t>
      </w:r>
    </w:p>
    <w:p w14:paraId="6307C1BC" w14:textId="77777777" w:rsidR="00524E22" w:rsidRDefault="00524E22" w:rsidP="00AC0DFC"/>
    <w:p w14:paraId="3BA04454" w14:textId="4D600D4D" w:rsidR="00524E22" w:rsidRDefault="00524E22">
      <w:pPr>
        <w:spacing w:after="200"/>
      </w:pPr>
    </w:p>
    <w:p w14:paraId="07C46850" w14:textId="77777777" w:rsidR="00160C92" w:rsidRDefault="00160C92">
      <w:pPr>
        <w:spacing w:after="200"/>
        <w:rPr>
          <w:rFonts w:eastAsiaTheme="majorEastAsia" w:cstheme="majorBidi"/>
          <w:b/>
          <w:iCs/>
          <w:color w:val="007C31"/>
          <w:spacing w:val="15"/>
          <w:sz w:val="28"/>
          <w:szCs w:val="28"/>
        </w:rPr>
      </w:pPr>
      <w:r>
        <w:br w:type="page"/>
      </w:r>
    </w:p>
    <w:p w14:paraId="0E6A2E19" w14:textId="34785793" w:rsidR="00D72A5F" w:rsidRDefault="00D72A5F" w:rsidP="00D72A5F">
      <w:pPr>
        <w:pStyle w:val="Heading1"/>
        <w:numPr>
          <w:ilvl w:val="0"/>
          <w:numId w:val="0"/>
        </w:numPr>
        <w:ind w:left="567" w:hanging="567"/>
      </w:pPr>
      <w:r>
        <w:lastRenderedPageBreak/>
        <w:t>Modification Report Consultation responses</w:t>
      </w:r>
    </w:p>
    <w:p w14:paraId="1A7737EC" w14:textId="77777777" w:rsidR="00D72A5F" w:rsidRDefault="00D72A5F" w:rsidP="00D72A5F">
      <w:pPr>
        <w:pStyle w:val="Heading2"/>
      </w:pPr>
      <w:r>
        <w:t>Summary of responses</w:t>
      </w:r>
    </w:p>
    <w:p w14:paraId="51EBD8A3" w14:textId="77777777" w:rsidR="00160C92" w:rsidRDefault="00293453" w:rsidP="00D72A5F">
      <w:r>
        <w:t>F</w:t>
      </w:r>
      <w:r w:rsidR="00684159" w:rsidRPr="00124B20">
        <w:t xml:space="preserve">our responses </w:t>
      </w:r>
      <w:r>
        <w:t xml:space="preserve">were received </w:t>
      </w:r>
      <w:r w:rsidR="00684159" w:rsidRPr="00124B20">
        <w:t xml:space="preserve">to the Modification Report Consultation. Three respondents </w:t>
      </w:r>
      <w:r w:rsidR="006E2D92">
        <w:t>believed the modification should be approved</w:t>
      </w:r>
      <w:r w:rsidR="00684159" w:rsidRPr="00124B20">
        <w:t xml:space="preserve">, and one </w:t>
      </w:r>
      <w:r w:rsidR="006E2D92">
        <w:t>felt it should be</w:t>
      </w:r>
      <w:r w:rsidR="00684159" w:rsidRPr="00124B20">
        <w:t xml:space="preserve"> reject</w:t>
      </w:r>
      <w:r w:rsidR="006E2D92">
        <w:t>ed</w:t>
      </w:r>
      <w:r w:rsidR="00684159" w:rsidRPr="00124B20">
        <w:t xml:space="preserve">. </w:t>
      </w:r>
    </w:p>
    <w:p w14:paraId="195AE72A" w14:textId="2BFDA9FB" w:rsidR="00160C92" w:rsidRDefault="00684159" w:rsidP="00D72A5F">
      <w:r w:rsidRPr="00124B20">
        <w:t>The respondents that</w:t>
      </w:r>
      <w:r w:rsidR="001D6FDC">
        <w:t xml:space="preserve"> believed</w:t>
      </w:r>
      <w:r w:rsidRPr="00124B20">
        <w:t xml:space="preserve"> </w:t>
      </w:r>
      <w:r w:rsidR="00180142">
        <w:t>the modification should be approved</w:t>
      </w:r>
      <w:r w:rsidRPr="00124B20">
        <w:t xml:space="preserve"> cited that the modification better facilitates SEC Objectives (a), (c) and (g). The rationale given was that the Proposed Solution offers clear instructions for how Users should interpret the </w:t>
      </w:r>
      <w:proofErr w:type="gramStart"/>
      <w:r w:rsidRPr="00124B20">
        <w:t>“ “</w:t>
      </w:r>
      <w:proofErr w:type="gramEnd"/>
      <w:r w:rsidRPr="00124B20">
        <w:t xml:space="preserve"> Space response.</w:t>
      </w:r>
      <w:r w:rsidR="00124B20" w:rsidRPr="00124B20">
        <w:t xml:space="preserve"> </w:t>
      </w:r>
    </w:p>
    <w:p w14:paraId="2EB6B043" w14:textId="550124A6" w:rsidR="00684159" w:rsidRDefault="00124B20" w:rsidP="00D72A5F">
      <w:r w:rsidRPr="00124B20">
        <w:t>One respondent felt that the modification should be rejected as they felt that providing the guidance to Appendix I ‘CH Installation and Maintenance Support Materials’ Table 3 is unnecessary</w:t>
      </w:r>
      <w:r w:rsidR="00180142">
        <w:t>.</w:t>
      </w:r>
    </w:p>
    <w:p w14:paraId="01A8D73A" w14:textId="21094520" w:rsidR="00180142" w:rsidRDefault="00180142" w:rsidP="00D72A5F">
      <w:r>
        <w:t xml:space="preserve">One of the respondents that believed the modification should be approved </w:t>
      </w:r>
      <w:r w:rsidR="001D6FDC">
        <w:t>provided further comments</w:t>
      </w:r>
      <w:r>
        <w:t xml:space="preserve"> that the correct name of the SEC document is ‘SEC Appendix I – CH Installation &amp; Maintenance Support Materials’’. This has been noted by SECAS and the necessary changes have been made. They also commented that it is unclear why an update to the DCC User Guidance was not considered</w:t>
      </w:r>
      <w:r w:rsidRPr="00124B20">
        <w:t>.</w:t>
      </w:r>
    </w:p>
    <w:p w14:paraId="7BADA2AE" w14:textId="77777777" w:rsidR="00D107F7" w:rsidRPr="00124B20" w:rsidRDefault="00D107F7" w:rsidP="00D72A5F"/>
    <w:p w14:paraId="5251D05D" w14:textId="77777777" w:rsidR="005818EB" w:rsidRDefault="005818EB" w:rsidP="005818EB">
      <w:pPr>
        <w:pStyle w:val="Heading1"/>
        <w:numPr>
          <w:ilvl w:val="0"/>
          <w:numId w:val="0"/>
        </w:numPr>
        <w:ind w:left="567" w:hanging="567"/>
      </w:pPr>
      <w:r>
        <w:t>Change Board vote</w:t>
      </w:r>
    </w:p>
    <w:p w14:paraId="27B36CE2" w14:textId="77777777" w:rsidR="005818EB" w:rsidRDefault="005818EB" w:rsidP="005818EB">
      <w:pPr>
        <w:pStyle w:val="Heading2"/>
      </w:pPr>
      <w:r>
        <w:t>Change Board vote</w:t>
      </w:r>
    </w:p>
    <w:p w14:paraId="1DE15967" w14:textId="725D7F83" w:rsidR="005818EB" w:rsidRDefault="005818EB" w:rsidP="005818EB">
      <w:r>
        <w:t xml:space="preserve">The Change Board voted to </w:t>
      </w:r>
      <w:r w:rsidRPr="005818EB">
        <w:rPr>
          <w:b/>
        </w:rPr>
        <w:t>approve</w:t>
      </w:r>
      <w:r w:rsidRPr="005818EB">
        <w:t xml:space="preserve"> </w:t>
      </w:r>
      <w:r>
        <w:t>MP106 under Self-Governance.</w:t>
      </w:r>
    </w:p>
    <w:p w14:paraId="651DB090" w14:textId="77777777" w:rsidR="005818EB" w:rsidRDefault="005818EB" w:rsidP="005818EB">
      <w:r>
        <w:t>The vote breakdown is summarised below.</w:t>
      </w:r>
    </w:p>
    <w:tbl>
      <w:tblPr>
        <w:tblStyle w:val="TableGrid"/>
        <w:tblW w:w="5000" w:type="pct"/>
        <w:tblBorders>
          <w:top w:val="single" w:sz="4" w:space="0" w:color="007C31"/>
          <w:left w:val="single" w:sz="4" w:space="0" w:color="007C31"/>
          <w:bottom w:val="single" w:sz="4" w:space="0" w:color="007C31"/>
          <w:right w:val="single" w:sz="4" w:space="0" w:color="007C31"/>
          <w:insideH w:val="single" w:sz="4" w:space="0" w:color="007C31"/>
          <w:insideV w:val="single" w:sz="4" w:space="0" w:color="007C31"/>
        </w:tblBorders>
        <w:tblLook w:val="04A0" w:firstRow="1" w:lastRow="0" w:firstColumn="1" w:lastColumn="0" w:noHBand="0" w:noVBand="1"/>
      </w:tblPr>
      <w:tblGrid>
        <w:gridCol w:w="2991"/>
        <w:gridCol w:w="1237"/>
        <w:gridCol w:w="1239"/>
        <w:gridCol w:w="1239"/>
        <w:gridCol w:w="2310"/>
      </w:tblGrid>
      <w:tr w:rsidR="005818EB" w14:paraId="3757D418" w14:textId="77777777" w:rsidTr="009142EB">
        <w:trPr>
          <w:tblHeader/>
        </w:trPr>
        <w:tc>
          <w:tcPr>
            <w:tcW w:w="5000" w:type="pct"/>
            <w:gridSpan w:val="5"/>
            <w:shd w:val="clear" w:color="auto" w:fill="007C31"/>
          </w:tcPr>
          <w:p w14:paraId="3F0B80C5" w14:textId="0DDEAB3B" w:rsidR="005818EB" w:rsidRPr="00687160" w:rsidRDefault="005818EB" w:rsidP="009142EB">
            <w:pPr>
              <w:pStyle w:val="Tabletitle"/>
              <w:rPr>
                <w:color w:val="007C31"/>
              </w:rPr>
            </w:pPr>
            <w:r>
              <w:t>Change Board vote</w:t>
            </w:r>
          </w:p>
        </w:tc>
      </w:tr>
      <w:tr w:rsidR="005818EB" w14:paraId="50B70214" w14:textId="77777777" w:rsidTr="009142EB">
        <w:trPr>
          <w:tblHeader/>
        </w:trPr>
        <w:tc>
          <w:tcPr>
            <w:tcW w:w="1659" w:type="pct"/>
          </w:tcPr>
          <w:p w14:paraId="3F705DFB" w14:textId="77777777" w:rsidR="005818EB" w:rsidRPr="00687160" w:rsidRDefault="005818EB" w:rsidP="009142EB">
            <w:pPr>
              <w:pStyle w:val="Tablecolumheader"/>
            </w:pPr>
            <w:r>
              <w:t>Party Category</w:t>
            </w:r>
          </w:p>
        </w:tc>
        <w:tc>
          <w:tcPr>
            <w:tcW w:w="686" w:type="pct"/>
          </w:tcPr>
          <w:p w14:paraId="54D2480A" w14:textId="77777777" w:rsidR="005818EB" w:rsidRDefault="005818EB" w:rsidP="009142EB">
            <w:pPr>
              <w:pStyle w:val="Tablecolumheader"/>
            </w:pPr>
            <w:r>
              <w:t>Approve</w:t>
            </w:r>
          </w:p>
        </w:tc>
        <w:tc>
          <w:tcPr>
            <w:tcW w:w="687" w:type="pct"/>
          </w:tcPr>
          <w:p w14:paraId="22228A04" w14:textId="77777777" w:rsidR="005818EB" w:rsidRDefault="005818EB" w:rsidP="009142EB">
            <w:pPr>
              <w:pStyle w:val="Tablecolumheader"/>
            </w:pPr>
            <w:r>
              <w:t>Reject</w:t>
            </w:r>
          </w:p>
        </w:tc>
        <w:tc>
          <w:tcPr>
            <w:tcW w:w="687" w:type="pct"/>
          </w:tcPr>
          <w:p w14:paraId="221581E3" w14:textId="77777777" w:rsidR="005818EB" w:rsidRDefault="005818EB" w:rsidP="009142EB">
            <w:pPr>
              <w:pStyle w:val="Tablecolumheader"/>
            </w:pPr>
            <w:r>
              <w:t>Abstain</w:t>
            </w:r>
          </w:p>
        </w:tc>
        <w:tc>
          <w:tcPr>
            <w:tcW w:w="1281" w:type="pct"/>
          </w:tcPr>
          <w:p w14:paraId="2E24B16A" w14:textId="77777777" w:rsidR="005818EB" w:rsidRPr="00285942" w:rsidRDefault="005818EB" w:rsidP="009142EB">
            <w:pPr>
              <w:pStyle w:val="Tablecolumheader"/>
            </w:pPr>
            <w:r>
              <w:t>Outcome</w:t>
            </w:r>
          </w:p>
        </w:tc>
      </w:tr>
      <w:tr w:rsidR="005818EB" w14:paraId="69AB72F4" w14:textId="77777777" w:rsidTr="009142EB">
        <w:tc>
          <w:tcPr>
            <w:tcW w:w="1659" w:type="pct"/>
          </w:tcPr>
          <w:p w14:paraId="17D7998D" w14:textId="77777777" w:rsidR="005818EB" w:rsidRDefault="005818EB" w:rsidP="009142EB">
            <w:pPr>
              <w:pStyle w:val="Tablebodytext"/>
            </w:pPr>
            <w:r>
              <w:t>Large Suppliers</w:t>
            </w:r>
          </w:p>
        </w:tc>
        <w:tc>
          <w:tcPr>
            <w:tcW w:w="686" w:type="pct"/>
          </w:tcPr>
          <w:p w14:paraId="452A795C" w14:textId="1140DFB3" w:rsidR="005818EB" w:rsidRDefault="005818EB" w:rsidP="009142EB">
            <w:pPr>
              <w:pStyle w:val="Tablebodytext"/>
              <w:jc w:val="center"/>
            </w:pPr>
            <w:r>
              <w:t>5</w:t>
            </w:r>
          </w:p>
        </w:tc>
        <w:tc>
          <w:tcPr>
            <w:tcW w:w="687" w:type="pct"/>
          </w:tcPr>
          <w:p w14:paraId="097E8EAC" w14:textId="02279A98" w:rsidR="005818EB" w:rsidRDefault="005818EB" w:rsidP="009142EB">
            <w:pPr>
              <w:pStyle w:val="Tablebodytext"/>
              <w:jc w:val="center"/>
            </w:pPr>
            <w:r>
              <w:t>1</w:t>
            </w:r>
          </w:p>
        </w:tc>
        <w:tc>
          <w:tcPr>
            <w:tcW w:w="687" w:type="pct"/>
          </w:tcPr>
          <w:p w14:paraId="57342490" w14:textId="77777777" w:rsidR="005818EB" w:rsidRDefault="005818EB" w:rsidP="009142EB">
            <w:pPr>
              <w:pStyle w:val="Tablebodytext"/>
              <w:jc w:val="center"/>
            </w:pPr>
            <w:r>
              <w:t>0</w:t>
            </w:r>
          </w:p>
        </w:tc>
        <w:tc>
          <w:tcPr>
            <w:tcW w:w="1281" w:type="pct"/>
          </w:tcPr>
          <w:p w14:paraId="066B9E7A" w14:textId="34C6FD7F" w:rsidR="005818EB" w:rsidRPr="000C1061" w:rsidRDefault="005818EB" w:rsidP="009142EB">
            <w:pPr>
              <w:pStyle w:val="Tablebodytext"/>
              <w:jc w:val="center"/>
              <w:rPr>
                <w:b/>
              </w:rPr>
            </w:pPr>
            <w:r>
              <w:rPr>
                <w:b/>
              </w:rPr>
              <w:t>Approve</w:t>
            </w:r>
          </w:p>
        </w:tc>
      </w:tr>
      <w:tr w:rsidR="005818EB" w14:paraId="2A7042D6" w14:textId="77777777" w:rsidTr="009142EB">
        <w:tc>
          <w:tcPr>
            <w:tcW w:w="1659" w:type="pct"/>
          </w:tcPr>
          <w:p w14:paraId="7165E32A" w14:textId="77777777" w:rsidR="005818EB" w:rsidRDefault="005818EB" w:rsidP="009142EB">
            <w:pPr>
              <w:pStyle w:val="Tablebodytext"/>
            </w:pPr>
            <w:r>
              <w:t>Small Suppliers</w:t>
            </w:r>
          </w:p>
        </w:tc>
        <w:tc>
          <w:tcPr>
            <w:tcW w:w="686" w:type="pct"/>
          </w:tcPr>
          <w:p w14:paraId="6CC8AB01" w14:textId="2A956D25" w:rsidR="005818EB" w:rsidRDefault="005818EB" w:rsidP="009142EB">
            <w:pPr>
              <w:pStyle w:val="Tablebodytext"/>
              <w:jc w:val="center"/>
            </w:pPr>
            <w:r>
              <w:t>2</w:t>
            </w:r>
          </w:p>
        </w:tc>
        <w:tc>
          <w:tcPr>
            <w:tcW w:w="687" w:type="pct"/>
          </w:tcPr>
          <w:p w14:paraId="6955432A" w14:textId="77777777" w:rsidR="005818EB" w:rsidRDefault="005818EB" w:rsidP="009142EB">
            <w:pPr>
              <w:pStyle w:val="Tablebodytext"/>
              <w:jc w:val="center"/>
            </w:pPr>
            <w:r>
              <w:t>0</w:t>
            </w:r>
          </w:p>
        </w:tc>
        <w:tc>
          <w:tcPr>
            <w:tcW w:w="687" w:type="pct"/>
          </w:tcPr>
          <w:p w14:paraId="06FEA191" w14:textId="77777777" w:rsidR="005818EB" w:rsidRDefault="005818EB" w:rsidP="009142EB">
            <w:pPr>
              <w:pStyle w:val="Tablebodytext"/>
              <w:jc w:val="center"/>
            </w:pPr>
            <w:r>
              <w:t>0</w:t>
            </w:r>
          </w:p>
        </w:tc>
        <w:tc>
          <w:tcPr>
            <w:tcW w:w="1281" w:type="pct"/>
          </w:tcPr>
          <w:p w14:paraId="7188DC17" w14:textId="50F7B1B9" w:rsidR="005818EB" w:rsidRPr="000C1061" w:rsidRDefault="005818EB" w:rsidP="009142EB">
            <w:pPr>
              <w:pStyle w:val="Tablebodytext"/>
              <w:jc w:val="center"/>
              <w:rPr>
                <w:b/>
              </w:rPr>
            </w:pPr>
            <w:r w:rsidRPr="00B6200D">
              <w:rPr>
                <w:b/>
              </w:rPr>
              <w:t>Approve</w:t>
            </w:r>
          </w:p>
        </w:tc>
      </w:tr>
      <w:tr w:rsidR="005818EB" w14:paraId="1653FE0C" w14:textId="77777777" w:rsidTr="009142EB">
        <w:tc>
          <w:tcPr>
            <w:tcW w:w="1659" w:type="pct"/>
          </w:tcPr>
          <w:p w14:paraId="2FC0D58C" w14:textId="77777777" w:rsidR="005818EB" w:rsidRDefault="005818EB" w:rsidP="009142EB">
            <w:pPr>
              <w:pStyle w:val="Tablebodytext"/>
            </w:pPr>
            <w:r>
              <w:t>Network Parties</w:t>
            </w:r>
          </w:p>
        </w:tc>
        <w:tc>
          <w:tcPr>
            <w:tcW w:w="686" w:type="pct"/>
          </w:tcPr>
          <w:p w14:paraId="13CD327B" w14:textId="3E175E46" w:rsidR="005818EB" w:rsidRDefault="005818EB" w:rsidP="009142EB">
            <w:pPr>
              <w:pStyle w:val="Tablebodytext"/>
              <w:jc w:val="center"/>
            </w:pPr>
            <w:r>
              <w:t>3</w:t>
            </w:r>
          </w:p>
        </w:tc>
        <w:tc>
          <w:tcPr>
            <w:tcW w:w="687" w:type="pct"/>
          </w:tcPr>
          <w:p w14:paraId="42164B43" w14:textId="77777777" w:rsidR="005818EB" w:rsidRDefault="005818EB" w:rsidP="009142EB">
            <w:pPr>
              <w:pStyle w:val="Tablebodytext"/>
              <w:jc w:val="center"/>
            </w:pPr>
            <w:r>
              <w:t>0</w:t>
            </w:r>
          </w:p>
        </w:tc>
        <w:tc>
          <w:tcPr>
            <w:tcW w:w="687" w:type="pct"/>
          </w:tcPr>
          <w:p w14:paraId="6C52141E" w14:textId="77777777" w:rsidR="005818EB" w:rsidRDefault="005818EB" w:rsidP="009142EB">
            <w:pPr>
              <w:pStyle w:val="Tablebodytext"/>
              <w:jc w:val="center"/>
            </w:pPr>
            <w:r>
              <w:t>0</w:t>
            </w:r>
          </w:p>
        </w:tc>
        <w:tc>
          <w:tcPr>
            <w:tcW w:w="1281" w:type="pct"/>
          </w:tcPr>
          <w:p w14:paraId="23DAA761" w14:textId="4969F613" w:rsidR="005818EB" w:rsidRPr="000C1061" w:rsidRDefault="005818EB" w:rsidP="009142EB">
            <w:pPr>
              <w:pStyle w:val="Tablebodytext"/>
              <w:jc w:val="center"/>
              <w:rPr>
                <w:b/>
              </w:rPr>
            </w:pPr>
            <w:r w:rsidRPr="00B6200D">
              <w:rPr>
                <w:b/>
              </w:rPr>
              <w:t>Approve</w:t>
            </w:r>
          </w:p>
        </w:tc>
      </w:tr>
      <w:tr w:rsidR="005818EB" w14:paraId="02840726" w14:textId="77777777" w:rsidTr="009142EB">
        <w:tc>
          <w:tcPr>
            <w:tcW w:w="1659" w:type="pct"/>
          </w:tcPr>
          <w:p w14:paraId="2F45C29D" w14:textId="77777777" w:rsidR="005818EB" w:rsidRDefault="005818EB" w:rsidP="009142EB">
            <w:pPr>
              <w:pStyle w:val="Tablebodytext"/>
            </w:pPr>
            <w:r>
              <w:t>Other SEC Parties</w:t>
            </w:r>
          </w:p>
        </w:tc>
        <w:tc>
          <w:tcPr>
            <w:tcW w:w="686" w:type="pct"/>
          </w:tcPr>
          <w:p w14:paraId="2247D9FA" w14:textId="0907569A" w:rsidR="005818EB" w:rsidRDefault="005818EB" w:rsidP="009142EB">
            <w:pPr>
              <w:pStyle w:val="Tablebodytext"/>
              <w:jc w:val="center"/>
            </w:pPr>
            <w:r>
              <w:t>2</w:t>
            </w:r>
          </w:p>
        </w:tc>
        <w:tc>
          <w:tcPr>
            <w:tcW w:w="687" w:type="pct"/>
          </w:tcPr>
          <w:p w14:paraId="39821699" w14:textId="77777777" w:rsidR="005818EB" w:rsidRDefault="005818EB" w:rsidP="009142EB">
            <w:pPr>
              <w:pStyle w:val="Tablebodytext"/>
              <w:jc w:val="center"/>
            </w:pPr>
            <w:r>
              <w:t>0</w:t>
            </w:r>
          </w:p>
        </w:tc>
        <w:tc>
          <w:tcPr>
            <w:tcW w:w="687" w:type="pct"/>
          </w:tcPr>
          <w:p w14:paraId="4EA9D00F" w14:textId="77777777" w:rsidR="005818EB" w:rsidRDefault="005818EB" w:rsidP="009142EB">
            <w:pPr>
              <w:pStyle w:val="Tablebodytext"/>
              <w:jc w:val="center"/>
            </w:pPr>
            <w:r>
              <w:t>0</w:t>
            </w:r>
          </w:p>
        </w:tc>
        <w:tc>
          <w:tcPr>
            <w:tcW w:w="1281" w:type="pct"/>
          </w:tcPr>
          <w:p w14:paraId="639FBF8A" w14:textId="2E2FEE27" w:rsidR="005818EB" w:rsidRPr="000C1061" w:rsidRDefault="005818EB" w:rsidP="009142EB">
            <w:pPr>
              <w:pStyle w:val="Tablebodytext"/>
              <w:jc w:val="center"/>
              <w:rPr>
                <w:b/>
              </w:rPr>
            </w:pPr>
            <w:r w:rsidRPr="00B6200D">
              <w:rPr>
                <w:b/>
              </w:rPr>
              <w:t>Approve</w:t>
            </w:r>
          </w:p>
        </w:tc>
      </w:tr>
      <w:tr w:rsidR="005818EB" w14:paraId="53FAB2E3" w14:textId="77777777" w:rsidTr="009142EB">
        <w:tc>
          <w:tcPr>
            <w:tcW w:w="1659" w:type="pct"/>
          </w:tcPr>
          <w:p w14:paraId="1E12F381" w14:textId="77777777" w:rsidR="005818EB" w:rsidRDefault="005818EB" w:rsidP="009142EB">
            <w:pPr>
              <w:pStyle w:val="Tablebodytext"/>
            </w:pPr>
            <w:r>
              <w:t>Consumer Representative</w:t>
            </w:r>
          </w:p>
        </w:tc>
        <w:tc>
          <w:tcPr>
            <w:tcW w:w="686" w:type="pct"/>
          </w:tcPr>
          <w:p w14:paraId="58146645" w14:textId="6F9F4C28" w:rsidR="005818EB" w:rsidRDefault="005818EB" w:rsidP="009142EB">
            <w:pPr>
              <w:pStyle w:val="Tablebodytext"/>
              <w:jc w:val="center"/>
            </w:pPr>
            <w:r>
              <w:t>1</w:t>
            </w:r>
          </w:p>
        </w:tc>
        <w:tc>
          <w:tcPr>
            <w:tcW w:w="687" w:type="pct"/>
          </w:tcPr>
          <w:p w14:paraId="21A43DB5" w14:textId="77777777" w:rsidR="005818EB" w:rsidRDefault="005818EB" w:rsidP="009142EB">
            <w:pPr>
              <w:pStyle w:val="Tablebodytext"/>
              <w:jc w:val="center"/>
            </w:pPr>
            <w:r>
              <w:t>0</w:t>
            </w:r>
          </w:p>
        </w:tc>
        <w:tc>
          <w:tcPr>
            <w:tcW w:w="687" w:type="pct"/>
          </w:tcPr>
          <w:p w14:paraId="34E01E06" w14:textId="77777777" w:rsidR="005818EB" w:rsidRDefault="005818EB" w:rsidP="009142EB">
            <w:pPr>
              <w:pStyle w:val="Tablebodytext"/>
              <w:jc w:val="center"/>
            </w:pPr>
            <w:r>
              <w:t>0</w:t>
            </w:r>
          </w:p>
        </w:tc>
        <w:tc>
          <w:tcPr>
            <w:tcW w:w="1281" w:type="pct"/>
          </w:tcPr>
          <w:p w14:paraId="14EC9AC8" w14:textId="7FD01772" w:rsidR="005818EB" w:rsidRPr="000C1061" w:rsidRDefault="005818EB" w:rsidP="009142EB">
            <w:pPr>
              <w:pStyle w:val="Tablebodytext"/>
              <w:jc w:val="center"/>
              <w:rPr>
                <w:b/>
              </w:rPr>
            </w:pPr>
            <w:r w:rsidRPr="00B6200D">
              <w:rPr>
                <w:b/>
              </w:rPr>
              <w:t>Approve</w:t>
            </w:r>
          </w:p>
        </w:tc>
      </w:tr>
      <w:tr w:rsidR="005818EB" w14:paraId="4535AA6E" w14:textId="77777777" w:rsidTr="009142EB">
        <w:tc>
          <w:tcPr>
            <w:tcW w:w="3719" w:type="pct"/>
            <w:gridSpan w:val="4"/>
          </w:tcPr>
          <w:p w14:paraId="53AD8C33" w14:textId="77777777" w:rsidR="005818EB" w:rsidRDefault="005818EB" w:rsidP="009142EB">
            <w:pPr>
              <w:pStyle w:val="Tablecolumheader"/>
              <w:jc w:val="right"/>
            </w:pPr>
            <w:r>
              <w:t>Overall outcome:</w:t>
            </w:r>
          </w:p>
        </w:tc>
        <w:tc>
          <w:tcPr>
            <w:tcW w:w="1281" w:type="pct"/>
          </w:tcPr>
          <w:p w14:paraId="43E86348" w14:textId="6D206E7A" w:rsidR="005818EB" w:rsidRDefault="005818EB" w:rsidP="009142EB">
            <w:pPr>
              <w:pStyle w:val="Tablecolumheader"/>
            </w:pPr>
            <w:r>
              <w:t>APPROVE</w:t>
            </w:r>
          </w:p>
        </w:tc>
      </w:tr>
    </w:tbl>
    <w:p w14:paraId="4F41BFE5" w14:textId="77777777" w:rsidR="005818EB" w:rsidRDefault="005818EB" w:rsidP="005818EB"/>
    <w:p w14:paraId="286B8DE2" w14:textId="77777777" w:rsidR="005818EB" w:rsidRDefault="005818EB" w:rsidP="005818EB">
      <w:pPr>
        <w:pStyle w:val="Heading2"/>
      </w:pPr>
      <w:r>
        <w:t>Views against the General SEC Objectives</w:t>
      </w:r>
    </w:p>
    <w:p w14:paraId="412EDAD6" w14:textId="4C8124ED" w:rsidR="005818EB" w:rsidRDefault="005818EB" w:rsidP="005818EB">
      <w:pPr>
        <w:pStyle w:val="Heading3"/>
      </w:pPr>
      <w:r>
        <w:t>Objective (a)</w:t>
      </w:r>
      <w:r>
        <w:rPr>
          <w:rStyle w:val="FootnoteReference"/>
        </w:rPr>
        <w:footnoteReference w:id="1"/>
      </w:r>
    </w:p>
    <w:p w14:paraId="3D8E2560" w14:textId="4F46E70B" w:rsidR="005818EB" w:rsidRDefault="005818EB" w:rsidP="005818EB">
      <w:r>
        <w:t xml:space="preserve">The </w:t>
      </w:r>
      <w:r w:rsidRPr="005818EB">
        <w:t>majority of the</w:t>
      </w:r>
      <w:r>
        <w:t xml:space="preserve"> Change Board believe</w:t>
      </w:r>
      <w:r w:rsidR="00F05EC7">
        <w:t>d</w:t>
      </w:r>
      <w:r>
        <w:t xml:space="preserve"> that MP106 will better facilitate SEC Objective (a) as the Proposed Solution will allow</w:t>
      </w:r>
      <w:r w:rsidR="00F05EC7">
        <w:t xml:space="preserve"> Suppliers clarity on the WAN </w:t>
      </w:r>
      <w:r w:rsidR="00B86A55">
        <w:t>V</w:t>
      </w:r>
      <w:r w:rsidR="00F05EC7">
        <w:t xml:space="preserve">ariant response received and therefore </w:t>
      </w:r>
      <w:r w:rsidR="00F05EC7">
        <w:lastRenderedPageBreak/>
        <w:t>allow</w:t>
      </w:r>
      <w:r>
        <w:t xml:space="preserve"> for the efficient provision, installation and </w:t>
      </w:r>
      <w:r w:rsidR="00137B1D">
        <w:t>interoperability of smart metering systems at energy Consumers’ premises.</w:t>
      </w:r>
    </w:p>
    <w:p w14:paraId="6E1A7852" w14:textId="77777777" w:rsidR="00D107F7" w:rsidRDefault="00D107F7" w:rsidP="005818EB"/>
    <w:p w14:paraId="3C69CBF4" w14:textId="3C90FD6E" w:rsidR="005818EB" w:rsidRDefault="005818EB" w:rsidP="005818EB">
      <w:pPr>
        <w:pStyle w:val="Heading3"/>
      </w:pPr>
      <w:r>
        <w:t>Objective (c)</w:t>
      </w:r>
      <w:r>
        <w:rPr>
          <w:rStyle w:val="FootnoteReference"/>
        </w:rPr>
        <w:footnoteReference w:id="2"/>
      </w:r>
    </w:p>
    <w:p w14:paraId="41C227C2" w14:textId="21752AD4" w:rsidR="005818EB" w:rsidRDefault="00744F30" w:rsidP="005818EB">
      <w:r>
        <w:t>One</w:t>
      </w:r>
      <w:r w:rsidR="005818EB">
        <w:t xml:space="preserve"> Change Board</w:t>
      </w:r>
      <w:r>
        <w:t xml:space="preserve"> member</w:t>
      </w:r>
      <w:r w:rsidR="005818EB">
        <w:t xml:space="preserve"> believe</w:t>
      </w:r>
      <w:r w:rsidR="00F05EC7">
        <w:t>d</w:t>
      </w:r>
      <w:r w:rsidR="005818EB">
        <w:t xml:space="preserve"> that MP106 will better facilitate SEC Objective (c)</w:t>
      </w:r>
      <w:r w:rsidR="00137B1D">
        <w:t xml:space="preserve"> as the Proposed Solution will provide an improved level of information to Service Users by ensuring there is reduced ambiguity relating to Wide Area Network (WAN) Variants.</w:t>
      </w:r>
    </w:p>
    <w:p w14:paraId="369EE15E" w14:textId="77777777" w:rsidR="00D107F7" w:rsidRDefault="00D107F7" w:rsidP="005818EB"/>
    <w:p w14:paraId="415869F7" w14:textId="2B111025" w:rsidR="005818EB" w:rsidRDefault="005818EB" w:rsidP="005818EB">
      <w:pPr>
        <w:pStyle w:val="Heading3"/>
      </w:pPr>
      <w:r>
        <w:t>Objective (g)</w:t>
      </w:r>
      <w:r>
        <w:rPr>
          <w:rStyle w:val="FootnoteReference"/>
        </w:rPr>
        <w:footnoteReference w:id="3"/>
      </w:r>
    </w:p>
    <w:p w14:paraId="77E5EE56" w14:textId="2A294FB2" w:rsidR="005818EB" w:rsidRDefault="005818EB" w:rsidP="005818EB">
      <w:r>
        <w:t>T</w:t>
      </w:r>
      <w:r w:rsidR="00744F30">
        <w:t>wo</w:t>
      </w:r>
      <w:r>
        <w:t xml:space="preserve"> Change Board </w:t>
      </w:r>
      <w:r w:rsidR="00744F30">
        <w:t xml:space="preserve">members </w:t>
      </w:r>
      <w:r>
        <w:t>believe</w:t>
      </w:r>
      <w:r w:rsidR="00F05EC7">
        <w:t>d</w:t>
      </w:r>
      <w:r>
        <w:t xml:space="preserve"> that MP106 will better facilitate SEC Objective (g)</w:t>
      </w:r>
      <w:r w:rsidR="00137B1D">
        <w:t xml:space="preserve"> as the Proposed Solution allows </w:t>
      </w:r>
      <w:r w:rsidR="00F05EC7">
        <w:t xml:space="preserve">for more clarity and therefore </w:t>
      </w:r>
      <w:r w:rsidR="00137B1D">
        <w:t>for the efficient and transparent administration and implementation of the SEC.</w:t>
      </w:r>
    </w:p>
    <w:p w14:paraId="2D8AAF0A" w14:textId="77777777" w:rsidR="005818EB" w:rsidRDefault="005818EB" w:rsidP="005818EB"/>
    <w:p w14:paraId="35B8E6B8" w14:textId="77777777" w:rsidR="005818EB" w:rsidRDefault="005818EB" w:rsidP="005818EB">
      <w:pPr>
        <w:pStyle w:val="Heading2"/>
      </w:pPr>
      <w:r>
        <w:t>Change Board discussions</w:t>
      </w:r>
    </w:p>
    <w:p w14:paraId="6D0B8EED" w14:textId="6F770D8F" w:rsidR="00744F30" w:rsidRPr="00744F30" w:rsidRDefault="00744F30" w:rsidP="005818EB">
      <w:r w:rsidRPr="00744F30">
        <w:t>SECAS confirmed that the correct acronym for SEC Appendix I ‘Communications Hub Installation and Maintenance Support Materials’ is ‘CHIMSM’ and not ‘CHISM’ which can be found in the SEC Modification documents.</w:t>
      </w:r>
    </w:p>
    <w:p w14:paraId="38991A4B" w14:textId="4822DCD6" w:rsidR="00744F30" w:rsidRDefault="00F05EC7" w:rsidP="005818EB">
      <w:r>
        <w:t>Although t</w:t>
      </w:r>
      <w:r w:rsidR="00137B1D" w:rsidRPr="00744F30">
        <w:t xml:space="preserve">he majority of Change Board members voted to approve the </w:t>
      </w:r>
      <w:r>
        <w:t>MP106,</w:t>
      </w:r>
      <w:r w:rsidR="00137B1D" w:rsidRPr="00744F30">
        <w:t xml:space="preserve"> </w:t>
      </w:r>
      <w:r>
        <w:t>o</w:t>
      </w:r>
      <w:r w:rsidR="00744F30" w:rsidRPr="00744F30">
        <w:t xml:space="preserve">ne member voted to reject the modification as they felt that the change was very minor and stated that the issue was small and would likely become irrelevant by the time the modification is implemented. The remaining Change Board members agreed that due to the low implementation cost, the modification should be approved as the Proposed Solution does offer </w:t>
      </w:r>
      <w:r>
        <w:t>some</w:t>
      </w:r>
      <w:r w:rsidR="00744F30" w:rsidRPr="00744F30">
        <w:t xml:space="preserve"> benefit to Service Users.</w:t>
      </w:r>
    </w:p>
    <w:p w14:paraId="1177F238" w14:textId="4B19D1F9" w:rsidR="005818EB" w:rsidRPr="00744F30" w:rsidRDefault="00744F30" w:rsidP="005818EB">
      <w:r w:rsidRPr="00744F30">
        <w:t>SECAS clarified to the Change Board that the DCC will provide further guidance in the DCC User Guidance document, as per the comments in the Modification Report Consultation.</w:t>
      </w:r>
    </w:p>
    <w:p w14:paraId="7268C3BC" w14:textId="77777777" w:rsidR="00D72A5F" w:rsidRPr="009274E6" w:rsidRDefault="00D72A5F" w:rsidP="00D72A5F"/>
    <w:p w14:paraId="3829F7F6" w14:textId="77777777" w:rsidR="00D72A5F" w:rsidRDefault="00D72A5F" w:rsidP="00D72A5F"/>
    <w:sectPr w:rsidR="00D72A5F" w:rsidSect="00DF2F19">
      <w:headerReference w:type="default" r:id="rId8"/>
      <w:footerReference w:type="default" r:id="rId9"/>
      <w:pgSz w:w="11906" w:h="16838"/>
      <w:pgMar w:top="1440" w:right="1440" w:bottom="1440" w:left="1440" w:header="68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F79EA8" w14:textId="77777777" w:rsidR="00791312" w:rsidRDefault="00791312" w:rsidP="004F458B">
      <w:pPr>
        <w:spacing w:after="0" w:line="240" w:lineRule="auto"/>
      </w:pPr>
      <w:r>
        <w:separator/>
      </w:r>
    </w:p>
  </w:endnote>
  <w:endnote w:type="continuationSeparator" w:id="0">
    <w:p w14:paraId="3E15F722" w14:textId="77777777" w:rsidR="00791312" w:rsidRDefault="00791312" w:rsidP="004F45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40"/>
      <w:gridCol w:w="2987"/>
      <w:gridCol w:w="2999"/>
    </w:tblGrid>
    <w:tr w:rsidR="000A6FAF" w:rsidRPr="00633F6B" w14:paraId="195B2A3F" w14:textId="77777777" w:rsidTr="006A3C3A">
      <w:tc>
        <w:tcPr>
          <w:tcW w:w="3040" w:type="dxa"/>
        </w:tcPr>
        <w:p w14:paraId="3787A655" w14:textId="77777777" w:rsidR="000A6FAF" w:rsidRPr="00633F6B" w:rsidRDefault="000A6FAF" w:rsidP="004D00F1">
          <w:pPr>
            <w:pStyle w:val="Footer"/>
            <w:spacing w:after="120"/>
            <w:rPr>
              <w:rFonts w:cs="Arial"/>
              <w:color w:val="595959" w:themeColor="text1" w:themeTint="A6"/>
              <w:sz w:val="16"/>
              <w:szCs w:val="16"/>
            </w:rPr>
          </w:pPr>
        </w:p>
      </w:tc>
      <w:tc>
        <w:tcPr>
          <w:tcW w:w="2987" w:type="dxa"/>
          <w:vMerge w:val="restart"/>
          <w:vAlign w:val="center"/>
        </w:tcPr>
        <w:p w14:paraId="6A04DBE0" w14:textId="77777777" w:rsidR="000A6FAF" w:rsidRPr="00633F6B" w:rsidRDefault="006A3C3A" w:rsidP="006A3C3A">
          <w:pPr>
            <w:pStyle w:val="Footer"/>
            <w:jc w:val="center"/>
            <w:rPr>
              <w:rFonts w:cs="Arial"/>
              <w:color w:val="595959" w:themeColor="text1" w:themeTint="A6"/>
              <w:sz w:val="16"/>
              <w:szCs w:val="16"/>
            </w:rPr>
          </w:pPr>
          <w:r>
            <w:rPr>
              <w:noProof/>
            </w:rPr>
            <w:drawing>
              <wp:inline distT="0" distB="0" distL="0" distR="0" wp14:anchorId="2E101550" wp14:editId="3A0E5EF3">
                <wp:extent cx="1170579" cy="680400"/>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0579" cy="680400"/>
                        </a:xfrm>
                        <a:prstGeom prst="rect">
                          <a:avLst/>
                        </a:prstGeom>
                        <a:noFill/>
                        <a:ln>
                          <a:noFill/>
                        </a:ln>
                      </pic:spPr>
                    </pic:pic>
                  </a:graphicData>
                </a:graphic>
              </wp:inline>
            </w:drawing>
          </w:r>
        </w:p>
      </w:tc>
      <w:tc>
        <w:tcPr>
          <w:tcW w:w="2999" w:type="dxa"/>
        </w:tcPr>
        <w:p w14:paraId="577407C6" w14:textId="77777777" w:rsidR="000A6FAF" w:rsidRPr="00633F6B" w:rsidRDefault="000A6FAF" w:rsidP="004D00F1">
          <w:pPr>
            <w:pStyle w:val="Footer"/>
            <w:spacing w:after="120"/>
            <w:rPr>
              <w:rFonts w:cs="Arial"/>
              <w:color w:val="595959" w:themeColor="text1" w:themeTint="A6"/>
              <w:sz w:val="16"/>
              <w:szCs w:val="16"/>
            </w:rPr>
          </w:pPr>
        </w:p>
      </w:tc>
    </w:tr>
    <w:tr w:rsidR="000A6FAF" w:rsidRPr="00633F6B" w14:paraId="4D3FF000" w14:textId="77777777" w:rsidTr="005D2C21">
      <w:trPr>
        <w:trHeight w:val="827"/>
      </w:trPr>
      <w:tc>
        <w:tcPr>
          <w:tcW w:w="3040" w:type="dxa"/>
        </w:tcPr>
        <w:p w14:paraId="59707B44" w14:textId="681CFF97" w:rsidR="000A6FAF" w:rsidRPr="00762D91" w:rsidRDefault="00CB05C3" w:rsidP="00E924B0">
          <w:pPr>
            <w:pStyle w:val="Footer"/>
            <w:rPr>
              <w:rFonts w:cs="Arial"/>
              <w:b/>
              <w:color w:val="595959" w:themeColor="text1" w:themeTint="A6"/>
              <w:sz w:val="16"/>
              <w:szCs w:val="16"/>
            </w:rPr>
          </w:pPr>
          <w:r>
            <w:rPr>
              <w:rFonts w:cs="Arial"/>
              <w:color w:val="595959" w:themeColor="text1" w:themeTint="A6"/>
              <w:sz w:val="16"/>
              <w:szCs w:val="16"/>
            </w:rPr>
            <w:t>MP</w:t>
          </w:r>
          <w:r w:rsidR="00695374">
            <w:rPr>
              <w:rFonts w:cs="Arial"/>
              <w:color w:val="595959" w:themeColor="text1" w:themeTint="A6"/>
              <w:sz w:val="16"/>
              <w:szCs w:val="16"/>
            </w:rPr>
            <w:t>106</w:t>
          </w:r>
          <w:r>
            <w:rPr>
              <w:rFonts w:cs="Arial"/>
              <w:color w:val="595959" w:themeColor="text1" w:themeTint="A6"/>
              <w:sz w:val="16"/>
              <w:szCs w:val="16"/>
            </w:rPr>
            <w:t xml:space="preserve"> </w:t>
          </w:r>
          <w:r w:rsidR="00D72A5F">
            <w:rPr>
              <w:rFonts w:cs="Arial"/>
              <w:color w:val="595959" w:themeColor="text1" w:themeTint="A6"/>
              <w:sz w:val="16"/>
              <w:szCs w:val="16"/>
            </w:rPr>
            <w:t>Conclusions Report</w:t>
          </w:r>
        </w:p>
      </w:tc>
      <w:tc>
        <w:tcPr>
          <w:tcW w:w="2987" w:type="dxa"/>
          <w:vMerge/>
        </w:tcPr>
        <w:p w14:paraId="4B35CB60" w14:textId="77777777" w:rsidR="000A6FAF" w:rsidRPr="00633F6B" w:rsidRDefault="000A6FAF" w:rsidP="00633F6B">
          <w:pPr>
            <w:pStyle w:val="Footer"/>
            <w:jc w:val="center"/>
            <w:rPr>
              <w:rFonts w:cs="Arial"/>
              <w:color w:val="595959" w:themeColor="text1" w:themeTint="A6"/>
              <w:sz w:val="16"/>
              <w:szCs w:val="16"/>
            </w:rPr>
          </w:pPr>
        </w:p>
      </w:tc>
      <w:tc>
        <w:tcPr>
          <w:tcW w:w="2999" w:type="dxa"/>
        </w:tcPr>
        <w:p w14:paraId="69C7FC63" w14:textId="77777777" w:rsidR="000A6FAF" w:rsidRDefault="000A6FAF" w:rsidP="00633F6B">
          <w:pPr>
            <w:pStyle w:val="Footer"/>
            <w:jc w:val="right"/>
            <w:rPr>
              <w:rFonts w:cs="Arial"/>
              <w:color w:val="595959" w:themeColor="text1" w:themeTint="A6"/>
              <w:sz w:val="16"/>
              <w:szCs w:val="16"/>
            </w:rPr>
          </w:pPr>
          <w:r w:rsidRPr="00633F6B">
            <w:rPr>
              <w:rFonts w:cs="Arial"/>
              <w:color w:val="595959" w:themeColor="text1" w:themeTint="A6"/>
              <w:sz w:val="16"/>
              <w:szCs w:val="16"/>
            </w:rPr>
            <w:t xml:space="preserve">Page </w:t>
          </w:r>
          <w:r w:rsidRPr="00633F6B">
            <w:rPr>
              <w:rFonts w:cs="Arial"/>
              <w:color w:val="595959" w:themeColor="text1" w:themeTint="A6"/>
              <w:sz w:val="16"/>
              <w:szCs w:val="16"/>
            </w:rPr>
            <w:fldChar w:fldCharType="begin"/>
          </w:r>
          <w:r w:rsidRPr="00633F6B">
            <w:rPr>
              <w:rFonts w:cs="Arial"/>
              <w:color w:val="595959" w:themeColor="text1" w:themeTint="A6"/>
              <w:sz w:val="16"/>
              <w:szCs w:val="16"/>
            </w:rPr>
            <w:instrText xml:space="preserve"> PAGE </w:instrText>
          </w:r>
          <w:r w:rsidRPr="00633F6B">
            <w:rPr>
              <w:rFonts w:cs="Arial"/>
              <w:color w:val="595959" w:themeColor="text1" w:themeTint="A6"/>
              <w:sz w:val="16"/>
              <w:szCs w:val="16"/>
            </w:rPr>
            <w:fldChar w:fldCharType="separate"/>
          </w:r>
          <w:r w:rsidR="00D81204">
            <w:rPr>
              <w:rFonts w:cs="Arial"/>
              <w:noProof/>
              <w:color w:val="595959" w:themeColor="text1" w:themeTint="A6"/>
              <w:sz w:val="16"/>
              <w:szCs w:val="16"/>
            </w:rPr>
            <w:t>2</w:t>
          </w:r>
          <w:r w:rsidRPr="00633F6B">
            <w:rPr>
              <w:rFonts w:cs="Arial"/>
              <w:color w:val="595959" w:themeColor="text1" w:themeTint="A6"/>
              <w:sz w:val="16"/>
              <w:szCs w:val="16"/>
            </w:rPr>
            <w:fldChar w:fldCharType="end"/>
          </w:r>
          <w:r w:rsidRPr="00633F6B">
            <w:rPr>
              <w:rFonts w:cs="Arial"/>
              <w:color w:val="595959" w:themeColor="text1" w:themeTint="A6"/>
              <w:sz w:val="16"/>
              <w:szCs w:val="16"/>
            </w:rPr>
            <w:t xml:space="preserve"> of </w:t>
          </w:r>
          <w:r w:rsidRPr="00633F6B">
            <w:rPr>
              <w:rFonts w:cs="Arial"/>
              <w:color w:val="595959" w:themeColor="text1" w:themeTint="A6"/>
              <w:sz w:val="16"/>
              <w:szCs w:val="16"/>
            </w:rPr>
            <w:fldChar w:fldCharType="begin"/>
          </w:r>
          <w:r w:rsidRPr="00633F6B">
            <w:rPr>
              <w:rFonts w:cs="Arial"/>
              <w:color w:val="595959" w:themeColor="text1" w:themeTint="A6"/>
              <w:sz w:val="16"/>
              <w:szCs w:val="16"/>
            </w:rPr>
            <w:instrText xml:space="preserve"> NUMPAGES  </w:instrText>
          </w:r>
          <w:r w:rsidRPr="00633F6B">
            <w:rPr>
              <w:rFonts w:cs="Arial"/>
              <w:color w:val="595959" w:themeColor="text1" w:themeTint="A6"/>
              <w:sz w:val="16"/>
              <w:szCs w:val="16"/>
            </w:rPr>
            <w:fldChar w:fldCharType="separate"/>
          </w:r>
          <w:r w:rsidR="00D81204">
            <w:rPr>
              <w:rFonts w:cs="Arial"/>
              <w:noProof/>
              <w:color w:val="595959" w:themeColor="text1" w:themeTint="A6"/>
              <w:sz w:val="16"/>
              <w:szCs w:val="16"/>
            </w:rPr>
            <w:t>6</w:t>
          </w:r>
          <w:r w:rsidRPr="00633F6B">
            <w:rPr>
              <w:rFonts w:cs="Arial"/>
              <w:color w:val="595959" w:themeColor="text1" w:themeTint="A6"/>
              <w:sz w:val="16"/>
              <w:szCs w:val="16"/>
            </w:rPr>
            <w:fldChar w:fldCharType="end"/>
          </w:r>
        </w:p>
        <w:p w14:paraId="382A4BFD" w14:textId="77777777" w:rsidR="000A6FAF" w:rsidRDefault="000A6FAF" w:rsidP="00633F6B">
          <w:pPr>
            <w:pStyle w:val="Footer"/>
            <w:jc w:val="right"/>
            <w:rPr>
              <w:rFonts w:cs="Arial"/>
              <w:color w:val="595959" w:themeColor="text1" w:themeTint="A6"/>
              <w:sz w:val="16"/>
              <w:szCs w:val="16"/>
            </w:rPr>
          </w:pPr>
        </w:p>
        <w:p w14:paraId="49B20393" w14:textId="77777777" w:rsidR="000A6FAF" w:rsidRPr="00633F6B" w:rsidRDefault="000A6FAF" w:rsidP="001606E0">
          <w:pPr>
            <w:pStyle w:val="Footer"/>
            <w:jc w:val="right"/>
            <w:rPr>
              <w:rFonts w:cs="Arial"/>
              <w:color w:val="595959" w:themeColor="text1" w:themeTint="A6"/>
              <w:sz w:val="16"/>
              <w:szCs w:val="16"/>
            </w:rPr>
          </w:pPr>
          <w:r>
            <w:rPr>
              <w:rFonts w:cs="Arial"/>
              <w:b/>
              <w:color w:val="595959" w:themeColor="text1" w:themeTint="A6"/>
              <w:sz w:val="16"/>
              <w:szCs w:val="16"/>
            </w:rPr>
            <w:t xml:space="preserve">This document has a Classification of </w:t>
          </w:r>
          <w:r w:rsidRPr="001606E0">
            <w:rPr>
              <w:rFonts w:cs="Arial"/>
              <w:b/>
              <w:color w:val="000000" w:themeColor="text1"/>
              <w:sz w:val="16"/>
              <w:szCs w:val="16"/>
            </w:rPr>
            <w:t>White</w:t>
          </w:r>
        </w:p>
      </w:tc>
    </w:tr>
  </w:tbl>
  <w:p w14:paraId="28E7026C" w14:textId="77777777" w:rsidR="000A6FAF" w:rsidRPr="00633F6B" w:rsidRDefault="000A6FAF" w:rsidP="00633F6B">
    <w:pPr>
      <w:pStyle w:val="Footer"/>
      <w:spacing w:after="120"/>
      <w:rPr>
        <w:rFonts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5199A2" w14:textId="77777777" w:rsidR="00791312" w:rsidRDefault="00791312" w:rsidP="004F458B">
      <w:pPr>
        <w:spacing w:after="0" w:line="240" w:lineRule="auto"/>
      </w:pPr>
      <w:r>
        <w:separator/>
      </w:r>
    </w:p>
  </w:footnote>
  <w:footnote w:type="continuationSeparator" w:id="0">
    <w:p w14:paraId="04390FAA" w14:textId="77777777" w:rsidR="00791312" w:rsidRDefault="00791312" w:rsidP="004F458B">
      <w:pPr>
        <w:spacing w:after="0" w:line="240" w:lineRule="auto"/>
      </w:pPr>
      <w:r>
        <w:continuationSeparator/>
      </w:r>
    </w:p>
  </w:footnote>
  <w:footnote w:id="1">
    <w:p w14:paraId="41940BDC" w14:textId="760862DF" w:rsidR="005818EB" w:rsidRDefault="005818EB" w:rsidP="005818EB">
      <w:pPr>
        <w:pStyle w:val="FootnoteText"/>
      </w:pPr>
      <w:r>
        <w:rPr>
          <w:rStyle w:val="FootnoteReference"/>
        </w:rPr>
        <w:footnoteRef/>
      </w:r>
      <w:r>
        <w:t xml:space="preserve"> </w:t>
      </w:r>
      <w:r w:rsidR="00137B1D" w:rsidRPr="00137B1D">
        <w:rPr>
          <w:sz w:val="16"/>
          <w:szCs w:val="16"/>
        </w:rPr>
        <w:t xml:space="preserve">Facilitate the efficient provision, installation, </w:t>
      </w:r>
      <w:proofErr w:type="gramStart"/>
      <w:r w:rsidR="00137B1D" w:rsidRPr="00137B1D">
        <w:rPr>
          <w:sz w:val="16"/>
          <w:szCs w:val="16"/>
        </w:rPr>
        <w:t>operation</w:t>
      </w:r>
      <w:proofErr w:type="gramEnd"/>
      <w:r w:rsidR="00137B1D" w:rsidRPr="00137B1D">
        <w:rPr>
          <w:sz w:val="16"/>
          <w:szCs w:val="16"/>
        </w:rPr>
        <w:t xml:space="preserve"> and interoperability of smart metering systems at energy consumers’ premises within Great Britain.</w:t>
      </w:r>
    </w:p>
  </w:footnote>
  <w:footnote w:id="2">
    <w:p w14:paraId="507C0854" w14:textId="5C04C28D" w:rsidR="005818EB" w:rsidRDefault="005818EB" w:rsidP="005818EB">
      <w:pPr>
        <w:pStyle w:val="FootnoteText"/>
      </w:pPr>
      <w:r>
        <w:rPr>
          <w:rStyle w:val="FootnoteReference"/>
        </w:rPr>
        <w:footnoteRef/>
      </w:r>
      <w:r>
        <w:t xml:space="preserve"> </w:t>
      </w:r>
      <w:r w:rsidR="00137B1D" w:rsidRPr="00137B1D">
        <w:rPr>
          <w:sz w:val="16"/>
          <w:szCs w:val="16"/>
        </w:rPr>
        <w:t>Facilitate energy consumers’ management of their use of electricity and gas through the provision of appropriate information via smart metering systems.</w:t>
      </w:r>
    </w:p>
  </w:footnote>
  <w:footnote w:id="3">
    <w:p w14:paraId="4AF54FA1" w14:textId="2A786577" w:rsidR="005818EB" w:rsidRDefault="005818EB" w:rsidP="005818EB">
      <w:pPr>
        <w:pStyle w:val="FootnoteText"/>
      </w:pPr>
      <w:r>
        <w:rPr>
          <w:rStyle w:val="FootnoteReference"/>
        </w:rPr>
        <w:footnoteRef/>
      </w:r>
      <w:r>
        <w:t xml:space="preserve"> </w:t>
      </w:r>
      <w:r w:rsidR="00137B1D" w:rsidRPr="00137B1D">
        <w:rPr>
          <w:sz w:val="16"/>
          <w:szCs w:val="16"/>
        </w:rPr>
        <w:t>Facilitate the efficient and transparent administration and implementation of the SEC.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645663" w14:textId="77777777" w:rsidR="000A6FAF" w:rsidRDefault="000A6FAF" w:rsidP="003E558E">
    <w:pPr>
      <w:pStyle w:val="Header"/>
      <w:jc w:val="right"/>
    </w:pPr>
    <w:r w:rsidRPr="003E558E">
      <w:rPr>
        <w:noProof/>
        <w:lang w:eastAsia="en-GB"/>
      </w:rPr>
      <w:drawing>
        <wp:inline distT="0" distB="0" distL="0" distR="0" wp14:anchorId="0C1260BB" wp14:editId="38158EB2">
          <wp:extent cx="1457325" cy="1047750"/>
          <wp:effectExtent l="19050" t="0" r="9525" b="0"/>
          <wp:docPr id="4" name="Picture 4" descr="C:\Users\catherine.cousins\AppData\Local\Microsoft\Windows\Temporary Internet Files\Content.Outlook\5NC1S6OP\SEC-Logo-without-diamond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atherine.cousins\AppData\Local\Microsoft\Windows\Temporary Internet Files\Content.Outlook\5NC1S6OP\SEC-Logo-without-diamonds.jpg"/>
                  <pic:cNvPicPr>
                    <a:picLocks noChangeAspect="1" noChangeArrowheads="1"/>
                  </pic:cNvPicPr>
                </pic:nvPicPr>
                <pic:blipFill>
                  <a:blip r:embed="rId1"/>
                  <a:srcRect/>
                  <a:stretch>
                    <a:fillRect/>
                  </a:stretch>
                </pic:blipFill>
                <pic:spPr bwMode="auto">
                  <a:xfrm>
                    <a:off x="0" y="0"/>
                    <a:ext cx="1457325" cy="104775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37CA6A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D5EF1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5709EB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C7EA47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96427D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046C26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9D0080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6022E5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CF05E8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1C6A11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411FE8"/>
    <w:multiLevelType w:val="multilevel"/>
    <w:tmpl w:val="82382EC6"/>
    <w:styleLink w:val="Subtitles"/>
    <w:lvl w:ilvl="0">
      <w:start w:val="1"/>
      <w:numFmt w:val="decimal"/>
      <w:lvlText w:val="%1."/>
      <w:lvlJc w:val="left"/>
      <w:pPr>
        <w:ind w:left="360" w:hanging="360"/>
      </w:pPr>
      <w:rPr>
        <w:rFonts w:hint="default"/>
        <w:b/>
        <w:bCs w:val="0"/>
        <w:i w:val="0"/>
        <w:iCs w:val="0"/>
        <w:caps w:val="0"/>
        <w:smallCaps w:val="0"/>
        <w:strike w:val="0"/>
        <w:dstrike w:val="0"/>
        <w:vanish w:val="0"/>
        <w:kern w:val="0"/>
        <w:position w:val="0"/>
        <w:sz w:val="24"/>
        <w:u w:val="none"/>
        <w:vertAlign w:val="baseline"/>
        <w:em w:val="none"/>
      </w:rPr>
    </w:lvl>
    <w:lvl w:ilvl="1">
      <w:start w:val="1"/>
      <w:numFmt w:val="decimal"/>
      <w:lvlText w:val="%2.%1"/>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10216614"/>
    <w:multiLevelType w:val="hybridMultilevel"/>
    <w:tmpl w:val="6E74DCAC"/>
    <w:lvl w:ilvl="0" w:tplc="447244E6">
      <w:start w:val="1"/>
      <w:numFmt w:val="bullet"/>
      <w:lvlText w:val=""/>
      <w:lvlJc w:val="left"/>
      <w:pPr>
        <w:ind w:left="720" w:hanging="360"/>
      </w:pPr>
      <w:rPr>
        <w:rFonts w:ascii="Symbol" w:hAnsi="Symbol" w:hint="default"/>
        <w:color w:val="007C3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6020731"/>
    <w:multiLevelType w:val="hybridMultilevel"/>
    <w:tmpl w:val="EA321216"/>
    <w:lvl w:ilvl="0" w:tplc="0D0A86C6">
      <w:start w:val="1"/>
      <w:numFmt w:val="bullet"/>
      <w:pStyle w:val="ListParagraph"/>
      <w:lvlText w:val=""/>
      <w:lvlJc w:val="left"/>
      <w:pPr>
        <w:ind w:left="720" w:hanging="360"/>
      </w:pPr>
      <w:rPr>
        <w:rFonts w:ascii="Symbol" w:hAnsi="Symbol" w:hint="default"/>
        <w:color w:val="007C31"/>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3D64DFF"/>
    <w:multiLevelType w:val="hybridMultilevel"/>
    <w:tmpl w:val="E25A4B7E"/>
    <w:lvl w:ilvl="0" w:tplc="978A111A">
      <w:start w:val="1"/>
      <w:numFmt w:val="decimal"/>
      <w:pStyle w:val="Heading1"/>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CC90244"/>
    <w:multiLevelType w:val="hybridMultilevel"/>
    <w:tmpl w:val="B184BC10"/>
    <w:lvl w:ilvl="0" w:tplc="515C9A0E">
      <w:start w:val="1"/>
      <w:numFmt w:val="bullet"/>
      <w:lvlText w:val=""/>
      <w:lvlJc w:val="left"/>
      <w:pPr>
        <w:ind w:left="720" w:hanging="360"/>
      </w:pPr>
      <w:rPr>
        <w:rFonts w:ascii="Symbol" w:hAnsi="Symbol" w:hint="default"/>
        <w:color w:val="007C3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F5654AE"/>
    <w:multiLevelType w:val="multilevel"/>
    <w:tmpl w:val="B6F45ED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51F02984"/>
    <w:multiLevelType w:val="multilevel"/>
    <w:tmpl w:val="CCAEB4D6"/>
    <w:styleLink w:val="SECPanelPaperHeadings"/>
    <w:lvl w:ilvl="0">
      <w:start w:val="1"/>
      <w:numFmt w:val="decimal"/>
      <w:lvlText w:val="%1."/>
      <w:lvlJc w:val="left"/>
      <w:pPr>
        <w:ind w:left="709" w:hanging="709"/>
      </w:pPr>
      <w:rPr>
        <w:rFonts w:ascii="Arial" w:hAnsi="Arial" w:hint="default"/>
        <w:b/>
        <w:bCs w:val="0"/>
        <w:i w:val="0"/>
        <w:iCs w:val="0"/>
        <w:caps w:val="0"/>
        <w:smallCaps w:val="0"/>
        <w:strike w:val="0"/>
        <w:dstrike w:val="0"/>
        <w:vanish w:val="0"/>
        <w:kern w:val="0"/>
        <w:position w:val="0"/>
        <w:sz w:val="24"/>
        <w:u w:val="none"/>
        <w:vertAlign w:val="baseline"/>
        <w:em w:val="none"/>
      </w:rPr>
    </w:lvl>
    <w:lvl w:ilvl="1">
      <w:start w:val="1"/>
      <w:numFmt w:val="decimal"/>
      <w:isLgl/>
      <w:lvlText w:val="%1.%2"/>
      <w:lvlJc w:val="left"/>
      <w:pPr>
        <w:ind w:left="709" w:hanging="709"/>
      </w:pPr>
      <w:rPr>
        <w:rFonts w:ascii="Arial" w:hAnsi="Arial" w:hint="default"/>
        <w:b/>
        <w:sz w:val="20"/>
      </w:rPr>
    </w:lvl>
    <w:lvl w:ilvl="2">
      <w:start w:val="1"/>
      <w:numFmt w:val="decimal"/>
      <w:isLgl/>
      <w:lvlText w:val="%1.%2.%3"/>
      <w:lvlJc w:val="left"/>
      <w:pPr>
        <w:ind w:left="709" w:hanging="709"/>
      </w:pPr>
      <w:rPr>
        <w:rFonts w:hint="default"/>
      </w:rPr>
    </w:lvl>
    <w:lvl w:ilvl="3">
      <w:start w:val="1"/>
      <w:numFmt w:val="decimal"/>
      <w:isLgl/>
      <w:lvlText w:val="%1.%2.%3.%4"/>
      <w:lvlJc w:val="left"/>
      <w:pPr>
        <w:ind w:left="709" w:hanging="709"/>
      </w:pPr>
      <w:rPr>
        <w:rFonts w:hint="default"/>
      </w:rPr>
    </w:lvl>
    <w:lvl w:ilvl="4">
      <w:start w:val="1"/>
      <w:numFmt w:val="decimal"/>
      <w:isLgl/>
      <w:lvlText w:val="%1.%2.%3.%4.%5"/>
      <w:lvlJc w:val="left"/>
      <w:pPr>
        <w:ind w:left="709" w:hanging="709"/>
      </w:pPr>
      <w:rPr>
        <w:rFonts w:hint="default"/>
      </w:rPr>
    </w:lvl>
    <w:lvl w:ilvl="5">
      <w:start w:val="1"/>
      <w:numFmt w:val="decimal"/>
      <w:isLgl/>
      <w:lvlText w:val="%1.%2.%3.%4.%5.%6"/>
      <w:lvlJc w:val="left"/>
      <w:pPr>
        <w:ind w:left="709" w:hanging="709"/>
      </w:pPr>
      <w:rPr>
        <w:rFonts w:hint="default"/>
      </w:rPr>
    </w:lvl>
    <w:lvl w:ilvl="6">
      <w:start w:val="1"/>
      <w:numFmt w:val="decimal"/>
      <w:isLgl/>
      <w:lvlText w:val="%1.%2.%3.%4.%5.%6.%7"/>
      <w:lvlJc w:val="left"/>
      <w:pPr>
        <w:ind w:left="709" w:hanging="709"/>
      </w:pPr>
      <w:rPr>
        <w:rFonts w:hint="default"/>
      </w:rPr>
    </w:lvl>
    <w:lvl w:ilvl="7">
      <w:start w:val="1"/>
      <w:numFmt w:val="decimal"/>
      <w:isLgl/>
      <w:lvlText w:val="%1.%2.%3.%4.%5.%6.%7.%8"/>
      <w:lvlJc w:val="left"/>
      <w:pPr>
        <w:ind w:left="709" w:hanging="709"/>
      </w:pPr>
      <w:rPr>
        <w:rFonts w:hint="default"/>
      </w:rPr>
    </w:lvl>
    <w:lvl w:ilvl="8">
      <w:start w:val="1"/>
      <w:numFmt w:val="decimal"/>
      <w:isLgl/>
      <w:lvlText w:val="%1.%2.%3.%4.%5.%6.%7.%8.%9"/>
      <w:lvlJc w:val="left"/>
      <w:pPr>
        <w:ind w:left="709" w:hanging="709"/>
      </w:pPr>
      <w:rPr>
        <w:rFonts w:hint="default"/>
      </w:rPr>
    </w:lvl>
  </w:abstractNum>
  <w:abstractNum w:abstractNumId="17" w15:restartNumberingAfterBreak="0">
    <w:nsid w:val="73706743"/>
    <w:multiLevelType w:val="hybridMultilevel"/>
    <w:tmpl w:val="14321648"/>
    <w:lvl w:ilvl="0" w:tplc="1F3831A0">
      <w:start w:val="1"/>
      <w:numFmt w:val="bullet"/>
      <w:lvlText w:val=""/>
      <w:lvlJc w:val="left"/>
      <w:pPr>
        <w:ind w:left="720" w:hanging="360"/>
      </w:pPr>
      <w:rPr>
        <w:rFonts w:ascii="Symbol" w:hAnsi="Symbol" w:hint="default"/>
        <w:color w:val="007C3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59A6373"/>
    <w:multiLevelType w:val="hybridMultilevel"/>
    <w:tmpl w:val="D814F5C0"/>
    <w:lvl w:ilvl="0" w:tplc="F080E01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EA25C35"/>
    <w:multiLevelType w:val="multilevel"/>
    <w:tmpl w:val="8EFE4B34"/>
    <w:lvl w:ilvl="0">
      <w:start w:val="1"/>
      <w:numFmt w:val="decimal"/>
      <w:lvlText w:val="%1."/>
      <w:lvlJc w:val="left"/>
      <w:pPr>
        <w:ind w:left="680" w:hanging="680"/>
      </w:pPr>
      <w:rPr>
        <w:rFonts w:hint="default"/>
        <w:b/>
        <w:bCs w:val="0"/>
        <w:i w:val="0"/>
        <w:iCs w:val="0"/>
        <w:caps w:val="0"/>
        <w:smallCaps w:val="0"/>
        <w:strike w:val="0"/>
        <w:dstrike w:val="0"/>
        <w:vanish w:val="0"/>
        <w:kern w:val="0"/>
        <w:position w:val="0"/>
        <w:sz w:val="24"/>
        <w:u w:val="none"/>
        <w:vertAlign w:val="baseline"/>
        <w:em w:val="none"/>
      </w:rPr>
    </w:lvl>
    <w:lvl w:ilvl="1">
      <w:start w:val="1"/>
      <w:numFmt w:val="decimal"/>
      <w:lvlText w:val="%1.%2"/>
      <w:lvlJc w:val="left"/>
      <w:pPr>
        <w:ind w:left="680" w:hanging="680"/>
      </w:pPr>
      <w:rPr>
        <w:rFonts w:hint="default"/>
      </w:rPr>
    </w:lvl>
    <w:lvl w:ilvl="2">
      <w:start w:val="1"/>
      <w:numFmt w:val="lowerRoman"/>
      <w:lvlText w:val="%3."/>
      <w:lvlJc w:val="right"/>
      <w:pPr>
        <w:ind w:left="680" w:hanging="680"/>
      </w:pPr>
      <w:rPr>
        <w:rFonts w:hint="default"/>
      </w:rPr>
    </w:lvl>
    <w:lvl w:ilvl="3">
      <w:start w:val="1"/>
      <w:numFmt w:val="decimal"/>
      <w:lvlText w:val="%4."/>
      <w:lvlJc w:val="left"/>
      <w:pPr>
        <w:ind w:left="1106" w:hanging="680"/>
      </w:pPr>
      <w:rPr>
        <w:rFonts w:hint="default"/>
        <w:b w:val="0"/>
      </w:rPr>
    </w:lvl>
    <w:lvl w:ilvl="4">
      <w:start w:val="1"/>
      <w:numFmt w:val="lowerLetter"/>
      <w:lvlText w:val="%5."/>
      <w:lvlJc w:val="left"/>
      <w:pPr>
        <w:ind w:left="680" w:hanging="680"/>
      </w:pPr>
      <w:rPr>
        <w:rFonts w:hint="default"/>
      </w:rPr>
    </w:lvl>
    <w:lvl w:ilvl="5">
      <w:start w:val="1"/>
      <w:numFmt w:val="lowerRoman"/>
      <w:lvlText w:val="%6."/>
      <w:lvlJc w:val="right"/>
      <w:pPr>
        <w:ind w:left="680" w:hanging="680"/>
      </w:pPr>
      <w:rPr>
        <w:rFonts w:hint="default"/>
      </w:rPr>
    </w:lvl>
    <w:lvl w:ilvl="6">
      <w:start w:val="1"/>
      <w:numFmt w:val="decimal"/>
      <w:lvlText w:val="%7."/>
      <w:lvlJc w:val="left"/>
      <w:pPr>
        <w:ind w:left="680" w:hanging="680"/>
      </w:pPr>
      <w:rPr>
        <w:rFonts w:hint="default"/>
      </w:rPr>
    </w:lvl>
    <w:lvl w:ilvl="7">
      <w:start w:val="1"/>
      <w:numFmt w:val="lowerLetter"/>
      <w:lvlText w:val="%8."/>
      <w:lvlJc w:val="left"/>
      <w:pPr>
        <w:ind w:left="680" w:hanging="680"/>
      </w:pPr>
      <w:rPr>
        <w:rFonts w:hint="default"/>
      </w:rPr>
    </w:lvl>
    <w:lvl w:ilvl="8">
      <w:start w:val="1"/>
      <w:numFmt w:val="lowerRoman"/>
      <w:lvlText w:val="%9."/>
      <w:lvlJc w:val="right"/>
      <w:pPr>
        <w:ind w:left="680" w:hanging="680"/>
      </w:pPr>
      <w:rPr>
        <w:rFonts w:hint="default"/>
      </w:rPr>
    </w:lvl>
  </w:abstractNum>
  <w:num w:numId="1">
    <w:abstractNumId w:val="13"/>
  </w:num>
  <w:num w:numId="2">
    <w:abstractNumId w:val="12"/>
  </w:num>
  <w:num w:numId="3">
    <w:abstractNumId w:val="16"/>
  </w:num>
  <w:num w:numId="4">
    <w:abstractNumId w:val="10"/>
  </w:num>
  <w:num w:numId="5">
    <w:abstractNumId w:val="19"/>
  </w:num>
  <w:num w:numId="6">
    <w:abstractNumId w:val="11"/>
  </w:num>
  <w:num w:numId="7">
    <w:abstractNumId w:val="14"/>
  </w:num>
  <w:num w:numId="8">
    <w:abstractNumId w:val="17"/>
  </w:num>
  <w:num w:numId="9">
    <w:abstractNumId w:val="15"/>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1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trackRevisions/>
  <w:defaultTabStop w:val="720"/>
  <w:drawingGridHorizontalSpacing w:val="110"/>
  <w:displayHorizont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1312"/>
    <w:rsid w:val="000034AD"/>
    <w:rsid w:val="00003C56"/>
    <w:rsid w:val="00020BA4"/>
    <w:rsid w:val="00030216"/>
    <w:rsid w:val="00031404"/>
    <w:rsid w:val="000343C9"/>
    <w:rsid w:val="000418DB"/>
    <w:rsid w:val="0004306A"/>
    <w:rsid w:val="00045C00"/>
    <w:rsid w:val="000476BA"/>
    <w:rsid w:val="000514B2"/>
    <w:rsid w:val="000571D3"/>
    <w:rsid w:val="0006239B"/>
    <w:rsid w:val="000638DB"/>
    <w:rsid w:val="00065849"/>
    <w:rsid w:val="00067AFA"/>
    <w:rsid w:val="000709BB"/>
    <w:rsid w:val="00072752"/>
    <w:rsid w:val="00073F86"/>
    <w:rsid w:val="00075828"/>
    <w:rsid w:val="0007628C"/>
    <w:rsid w:val="00077AD5"/>
    <w:rsid w:val="00081578"/>
    <w:rsid w:val="00082C70"/>
    <w:rsid w:val="0008420A"/>
    <w:rsid w:val="00091612"/>
    <w:rsid w:val="00094C7E"/>
    <w:rsid w:val="000A41CE"/>
    <w:rsid w:val="000A6FAF"/>
    <w:rsid w:val="000B0AB0"/>
    <w:rsid w:val="000B30A4"/>
    <w:rsid w:val="000B4FAB"/>
    <w:rsid w:val="000C1061"/>
    <w:rsid w:val="000C19AB"/>
    <w:rsid w:val="000C5748"/>
    <w:rsid w:val="000D0828"/>
    <w:rsid w:val="000D55EF"/>
    <w:rsid w:val="000D5C18"/>
    <w:rsid w:val="000E30B0"/>
    <w:rsid w:val="000E6A3C"/>
    <w:rsid w:val="000E6DD9"/>
    <w:rsid w:val="000E7B9E"/>
    <w:rsid w:val="000F161D"/>
    <w:rsid w:val="000F1EDE"/>
    <w:rsid w:val="000F3669"/>
    <w:rsid w:val="000F4376"/>
    <w:rsid w:val="000F49B3"/>
    <w:rsid w:val="000F6536"/>
    <w:rsid w:val="00102237"/>
    <w:rsid w:val="001033FE"/>
    <w:rsid w:val="0010448B"/>
    <w:rsid w:val="00106158"/>
    <w:rsid w:val="00117A88"/>
    <w:rsid w:val="00121A17"/>
    <w:rsid w:val="00124B20"/>
    <w:rsid w:val="00134821"/>
    <w:rsid w:val="00134D8E"/>
    <w:rsid w:val="00137B1D"/>
    <w:rsid w:val="00142F24"/>
    <w:rsid w:val="001453D4"/>
    <w:rsid w:val="00146305"/>
    <w:rsid w:val="00150EB4"/>
    <w:rsid w:val="0015201A"/>
    <w:rsid w:val="00152E20"/>
    <w:rsid w:val="0015324F"/>
    <w:rsid w:val="0015743D"/>
    <w:rsid w:val="001606E0"/>
    <w:rsid w:val="00160C92"/>
    <w:rsid w:val="0016136E"/>
    <w:rsid w:val="00162FA3"/>
    <w:rsid w:val="0016723D"/>
    <w:rsid w:val="001677AD"/>
    <w:rsid w:val="001677CB"/>
    <w:rsid w:val="00170C40"/>
    <w:rsid w:val="001721F2"/>
    <w:rsid w:val="0017470B"/>
    <w:rsid w:val="001758EC"/>
    <w:rsid w:val="00177F91"/>
    <w:rsid w:val="00180142"/>
    <w:rsid w:val="00183C95"/>
    <w:rsid w:val="0018432B"/>
    <w:rsid w:val="00184CE1"/>
    <w:rsid w:val="001855DA"/>
    <w:rsid w:val="00187994"/>
    <w:rsid w:val="00187B68"/>
    <w:rsid w:val="00192FAC"/>
    <w:rsid w:val="001943DC"/>
    <w:rsid w:val="001965F9"/>
    <w:rsid w:val="00196A93"/>
    <w:rsid w:val="001A22B6"/>
    <w:rsid w:val="001A2D62"/>
    <w:rsid w:val="001A46BA"/>
    <w:rsid w:val="001A6667"/>
    <w:rsid w:val="001B2176"/>
    <w:rsid w:val="001B2509"/>
    <w:rsid w:val="001B33CC"/>
    <w:rsid w:val="001B49B6"/>
    <w:rsid w:val="001B5319"/>
    <w:rsid w:val="001C16F1"/>
    <w:rsid w:val="001C193E"/>
    <w:rsid w:val="001C2BD8"/>
    <w:rsid w:val="001D40C3"/>
    <w:rsid w:val="001D5D9D"/>
    <w:rsid w:val="001D6FDC"/>
    <w:rsid w:val="001E0B00"/>
    <w:rsid w:val="001E24EA"/>
    <w:rsid w:val="001E383C"/>
    <w:rsid w:val="001E4249"/>
    <w:rsid w:val="001E6929"/>
    <w:rsid w:val="001F0BA8"/>
    <w:rsid w:val="001F44D7"/>
    <w:rsid w:val="00200476"/>
    <w:rsid w:val="0020192A"/>
    <w:rsid w:val="00203AEB"/>
    <w:rsid w:val="00210CFF"/>
    <w:rsid w:val="00211DDF"/>
    <w:rsid w:val="00211EB3"/>
    <w:rsid w:val="00222D94"/>
    <w:rsid w:val="0022344C"/>
    <w:rsid w:val="002357F7"/>
    <w:rsid w:val="0024177C"/>
    <w:rsid w:val="00242216"/>
    <w:rsid w:val="002424D4"/>
    <w:rsid w:val="00251BB8"/>
    <w:rsid w:val="00251E29"/>
    <w:rsid w:val="00254041"/>
    <w:rsid w:val="00254932"/>
    <w:rsid w:val="0026697B"/>
    <w:rsid w:val="00267F7B"/>
    <w:rsid w:val="00283D8C"/>
    <w:rsid w:val="00284C6E"/>
    <w:rsid w:val="00285942"/>
    <w:rsid w:val="00293453"/>
    <w:rsid w:val="002943B7"/>
    <w:rsid w:val="00296EA0"/>
    <w:rsid w:val="002A0870"/>
    <w:rsid w:val="002A216C"/>
    <w:rsid w:val="002A46ED"/>
    <w:rsid w:val="002A5A10"/>
    <w:rsid w:val="002A5AD9"/>
    <w:rsid w:val="002A7613"/>
    <w:rsid w:val="002B2741"/>
    <w:rsid w:val="002C05FF"/>
    <w:rsid w:val="002C20B7"/>
    <w:rsid w:val="002C2DF7"/>
    <w:rsid w:val="002C4FA1"/>
    <w:rsid w:val="002C5747"/>
    <w:rsid w:val="002C7A3A"/>
    <w:rsid w:val="002D49E8"/>
    <w:rsid w:val="002E0EC9"/>
    <w:rsid w:val="002E23BE"/>
    <w:rsid w:val="002E25BD"/>
    <w:rsid w:val="002E3D30"/>
    <w:rsid w:val="002F0BBC"/>
    <w:rsid w:val="002F1749"/>
    <w:rsid w:val="002F1EEA"/>
    <w:rsid w:val="002F2338"/>
    <w:rsid w:val="002F39BD"/>
    <w:rsid w:val="002F3FC6"/>
    <w:rsid w:val="002F4137"/>
    <w:rsid w:val="002F5392"/>
    <w:rsid w:val="00302694"/>
    <w:rsid w:val="003038C2"/>
    <w:rsid w:val="003045A5"/>
    <w:rsid w:val="00306C4B"/>
    <w:rsid w:val="0031485F"/>
    <w:rsid w:val="003149DD"/>
    <w:rsid w:val="0032072B"/>
    <w:rsid w:val="003253CF"/>
    <w:rsid w:val="00331B41"/>
    <w:rsid w:val="00332631"/>
    <w:rsid w:val="003425F2"/>
    <w:rsid w:val="00342B04"/>
    <w:rsid w:val="0034422A"/>
    <w:rsid w:val="00345749"/>
    <w:rsid w:val="003477DD"/>
    <w:rsid w:val="00347F6A"/>
    <w:rsid w:val="003516BE"/>
    <w:rsid w:val="00351AD1"/>
    <w:rsid w:val="00354462"/>
    <w:rsid w:val="00363BC5"/>
    <w:rsid w:val="0036515D"/>
    <w:rsid w:val="00371C77"/>
    <w:rsid w:val="00372351"/>
    <w:rsid w:val="00374B7D"/>
    <w:rsid w:val="003756A8"/>
    <w:rsid w:val="00375BCC"/>
    <w:rsid w:val="00375D68"/>
    <w:rsid w:val="00383C69"/>
    <w:rsid w:val="0038568E"/>
    <w:rsid w:val="00391B14"/>
    <w:rsid w:val="00392E9E"/>
    <w:rsid w:val="003935E6"/>
    <w:rsid w:val="00397E22"/>
    <w:rsid w:val="003A45DA"/>
    <w:rsid w:val="003A4BED"/>
    <w:rsid w:val="003A556D"/>
    <w:rsid w:val="003B1A0B"/>
    <w:rsid w:val="003C1DF0"/>
    <w:rsid w:val="003C3106"/>
    <w:rsid w:val="003C6243"/>
    <w:rsid w:val="003D4B63"/>
    <w:rsid w:val="003D6B4C"/>
    <w:rsid w:val="003D7C52"/>
    <w:rsid w:val="003E2751"/>
    <w:rsid w:val="003E558E"/>
    <w:rsid w:val="00400B31"/>
    <w:rsid w:val="00401BF8"/>
    <w:rsid w:val="00404012"/>
    <w:rsid w:val="00404C8C"/>
    <w:rsid w:val="0040725F"/>
    <w:rsid w:val="004119B6"/>
    <w:rsid w:val="0041393B"/>
    <w:rsid w:val="00414A08"/>
    <w:rsid w:val="004170C6"/>
    <w:rsid w:val="004256F4"/>
    <w:rsid w:val="00425DF0"/>
    <w:rsid w:val="00433E0F"/>
    <w:rsid w:val="004350DF"/>
    <w:rsid w:val="004351EE"/>
    <w:rsid w:val="004356BB"/>
    <w:rsid w:val="0043667E"/>
    <w:rsid w:val="00436897"/>
    <w:rsid w:val="004371AB"/>
    <w:rsid w:val="00441470"/>
    <w:rsid w:val="00441D82"/>
    <w:rsid w:val="00443AB1"/>
    <w:rsid w:val="004463BD"/>
    <w:rsid w:val="00463094"/>
    <w:rsid w:val="00466069"/>
    <w:rsid w:val="00470F9D"/>
    <w:rsid w:val="00471CC6"/>
    <w:rsid w:val="0048046D"/>
    <w:rsid w:val="0048237F"/>
    <w:rsid w:val="00484714"/>
    <w:rsid w:val="00495B1C"/>
    <w:rsid w:val="004A1A27"/>
    <w:rsid w:val="004B2999"/>
    <w:rsid w:val="004B676D"/>
    <w:rsid w:val="004C6A0D"/>
    <w:rsid w:val="004D00F1"/>
    <w:rsid w:val="004D380A"/>
    <w:rsid w:val="004D5F54"/>
    <w:rsid w:val="004D7BE4"/>
    <w:rsid w:val="004E0D05"/>
    <w:rsid w:val="004E1DB7"/>
    <w:rsid w:val="004E2065"/>
    <w:rsid w:val="004E2A55"/>
    <w:rsid w:val="004E536E"/>
    <w:rsid w:val="004F2116"/>
    <w:rsid w:val="004F458B"/>
    <w:rsid w:val="004F71DA"/>
    <w:rsid w:val="00501AF8"/>
    <w:rsid w:val="00505EB2"/>
    <w:rsid w:val="00506FA2"/>
    <w:rsid w:val="005160AB"/>
    <w:rsid w:val="00516FA0"/>
    <w:rsid w:val="00517881"/>
    <w:rsid w:val="00524E22"/>
    <w:rsid w:val="005254E2"/>
    <w:rsid w:val="00526D76"/>
    <w:rsid w:val="0052762D"/>
    <w:rsid w:val="00530099"/>
    <w:rsid w:val="00530822"/>
    <w:rsid w:val="00531314"/>
    <w:rsid w:val="00531662"/>
    <w:rsid w:val="005331F9"/>
    <w:rsid w:val="00536F6E"/>
    <w:rsid w:val="005422A5"/>
    <w:rsid w:val="00547514"/>
    <w:rsid w:val="00551EEE"/>
    <w:rsid w:val="00552405"/>
    <w:rsid w:val="00552455"/>
    <w:rsid w:val="00552DED"/>
    <w:rsid w:val="00554542"/>
    <w:rsid w:val="005548BA"/>
    <w:rsid w:val="005552CE"/>
    <w:rsid w:val="005613A7"/>
    <w:rsid w:val="0056253E"/>
    <w:rsid w:val="00566244"/>
    <w:rsid w:val="00571CFF"/>
    <w:rsid w:val="00571E51"/>
    <w:rsid w:val="00573E99"/>
    <w:rsid w:val="00574192"/>
    <w:rsid w:val="00574C53"/>
    <w:rsid w:val="005818EB"/>
    <w:rsid w:val="00583C70"/>
    <w:rsid w:val="00591CAF"/>
    <w:rsid w:val="005964DD"/>
    <w:rsid w:val="00597B0B"/>
    <w:rsid w:val="005A2125"/>
    <w:rsid w:val="005A3D34"/>
    <w:rsid w:val="005A3F5D"/>
    <w:rsid w:val="005A6FFF"/>
    <w:rsid w:val="005A75F3"/>
    <w:rsid w:val="005B282E"/>
    <w:rsid w:val="005B3D6B"/>
    <w:rsid w:val="005C31B4"/>
    <w:rsid w:val="005D2C21"/>
    <w:rsid w:val="005D3A1E"/>
    <w:rsid w:val="005D5849"/>
    <w:rsid w:val="005D6668"/>
    <w:rsid w:val="005D72AA"/>
    <w:rsid w:val="005E3DF9"/>
    <w:rsid w:val="005F15F0"/>
    <w:rsid w:val="005F1E4F"/>
    <w:rsid w:val="005F7C87"/>
    <w:rsid w:val="00600B8A"/>
    <w:rsid w:val="006037D0"/>
    <w:rsid w:val="006056A4"/>
    <w:rsid w:val="0060781C"/>
    <w:rsid w:val="00611E36"/>
    <w:rsid w:val="00612C6F"/>
    <w:rsid w:val="006147BC"/>
    <w:rsid w:val="00615163"/>
    <w:rsid w:val="00620403"/>
    <w:rsid w:val="00621456"/>
    <w:rsid w:val="00622F14"/>
    <w:rsid w:val="006240A4"/>
    <w:rsid w:val="006256BB"/>
    <w:rsid w:val="00626B3A"/>
    <w:rsid w:val="00633F6B"/>
    <w:rsid w:val="006365EF"/>
    <w:rsid w:val="00641531"/>
    <w:rsid w:val="00644440"/>
    <w:rsid w:val="006446A3"/>
    <w:rsid w:val="00645F6C"/>
    <w:rsid w:val="0064753C"/>
    <w:rsid w:val="00647909"/>
    <w:rsid w:val="0064797F"/>
    <w:rsid w:val="0065346A"/>
    <w:rsid w:val="0065625F"/>
    <w:rsid w:val="00656534"/>
    <w:rsid w:val="00660B11"/>
    <w:rsid w:val="00661BA9"/>
    <w:rsid w:val="0066212E"/>
    <w:rsid w:val="0067326B"/>
    <w:rsid w:val="0068082B"/>
    <w:rsid w:val="006818FC"/>
    <w:rsid w:val="00684159"/>
    <w:rsid w:val="00687160"/>
    <w:rsid w:val="00687D31"/>
    <w:rsid w:val="0069226B"/>
    <w:rsid w:val="00692A8C"/>
    <w:rsid w:val="0069386E"/>
    <w:rsid w:val="00695374"/>
    <w:rsid w:val="006A119F"/>
    <w:rsid w:val="006A172D"/>
    <w:rsid w:val="006A3A9F"/>
    <w:rsid w:val="006A3C3A"/>
    <w:rsid w:val="006A3FE0"/>
    <w:rsid w:val="006A5954"/>
    <w:rsid w:val="006A7CF4"/>
    <w:rsid w:val="006B07E8"/>
    <w:rsid w:val="006B1076"/>
    <w:rsid w:val="006B1B0C"/>
    <w:rsid w:val="006C2998"/>
    <w:rsid w:val="006C31A1"/>
    <w:rsid w:val="006C6A41"/>
    <w:rsid w:val="006D1654"/>
    <w:rsid w:val="006D1B46"/>
    <w:rsid w:val="006D2751"/>
    <w:rsid w:val="006D3E3A"/>
    <w:rsid w:val="006E2221"/>
    <w:rsid w:val="006E2D92"/>
    <w:rsid w:val="006E3C5A"/>
    <w:rsid w:val="006E53D7"/>
    <w:rsid w:val="006E5440"/>
    <w:rsid w:val="006E5908"/>
    <w:rsid w:val="006E7A14"/>
    <w:rsid w:val="006F2C39"/>
    <w:rsid w:val="007009B6"/>
    <w:rsid w:val="00712849"/>
    <w:rsid w:val="00717CF8"/>
    <w:rsid w:val="00726D46"/>
    <w:rsid w:val="00730DF8"/>
    <w:rsid w:val="00731D2C"/>
    <w:rsid w:val="00732ACB"/>
    <w:rsid w:val="00735F06"/>
    <w:rsid w:val="00736B8D"/>
    <w:rsid w:val="00744B12"/>
    <w:rsid w:val="00744F30"/>
    <w:rsid w:val="00746E0F"/>
    <w:rsid w:val="00747040"/>
    <w:rsid w:val="007516F8"/>
    <w:rsid w:val="00753EFD"/>
    <w:rsid w:val="00757048"/>
    <w:rsid w:val="0075707E"/>
    <w:rsid w:val="007577C0"/>
    <w:rsid w:val="00757B64"/>
    <w:rsid w:val="00762D91"/>
    <w:rsid w:val="00764069"/>
    <w:rsid w:val="00764AC3"/>
    <w:rsid w:val="007703DC"/>
    <w:rsid w:val="00771B4F"/>
    <w:rsid w:val="00772D41"/>
    <w:rsid w:val="00775E81"/>
    <w:rsid w:val="00783DBF"/>
    <w:rsid w:val="007870D5"/>
    <w:rsid w:val="00791312"/>
    <w:rsid w:val="00791DE9"/>
    <w:rsid w:val="00793FD4"/>
    <w:rsid w:val="00794846"/>
    <w:rsid w:val="007A0139"/>
    <w:rsid w:val="007A035D"/>
    <w:rsid w:val="007A3F7C"/>
    <w:rsid w:val="007A421E"/>
    <w:rsid w:val="007A4826"/>
    <w:rsid w:val="007A5CA3"/>
    <w:rsid w:val="007A7AAC"/>
    <w:rsid w:val="007B212D"/>
    <w:rsid w:val="007B4454"/>
    <w:rsid w:val="007B4CAA"/>
    <w:rsid w:val="007B6EDA"/>
    <w:rsid w:val="007C00FE"/>
    <w:rsid w:val="007C0309"/>
    <w:rsid w:val="007C22DD"/>
    <w:rsid w:val="007C2C93"/>
    <w:rsid w:val="007C5DCC"/>
    <w:rsid w:val="007D0379"/>
    <w:rsid w:val="007D1CB7"/>
    <w:rsid w:val="007D6BDB"/>
    <w:rsid w:val="007E016C"/>
    <w:rsid w:val="007E237F"/>
    <w:rsid w:val="007E2D21"/>
    <w:rsid w:val="007E4A9F"/>
    <w:rsid w:val="007E58E4"/>
    <w:rsid w:val="007E638F"/>
    <w:rsid w:val="007E68F9"/>
    <w:rsid w:val="007E6ECB"/>
    <w:rsid w:val="007F13D8"/>
    <w:rsid w:val="007F2E70"/>
    <w:rsid w:val="007F3FE8"/>
    <w:rsid w:val="007F5F07"/>
    <w:rsid w:val="0080165E"/>
    <w:rsid w:val="008020EA"/>
    <w:rsid w:val="00803798"/>
    <w:rsid w:val="00811344"/>
    <w:rsid w:val="00812F8D"/>
    <w:rsid w:val="00815870"/>
    <w:rsid w:val="008206CD"/>
    <w:rsid w:val="00820CE3"/>
    <w:rsid w:val="00826E91"/>
    <w:rsid w:val="00844836"/>
    <w:rsid w:val="00847A1D"/>
    <w:rsid w:val="00847AAE"/>
    <w:rsid w:val="00853F4C"/>
    <w:rsid w:val="00855057"/>
    <w:rsid w:val="0085524D"/>
    <w:rsid w:val="0085667A"/>
    <w:rsid w:val="008579DE"/>
    <w:rsid w:val="00857BC2"/>
    <w:rsid w:val="0086220C"/>
    <w:rsid w:val="00862227"/>
    <w:rsid w:val="00862303"/>
    <w:rsid w:val="00866284"/>
    <w:rsid w:val="00871002"/>
    <w:rsid w:val="008726DE"/>
    <w:rsid w:val="008726FF"/>
    <w:rsid w:val="008738E4"/>
    <w:rsid w:val="0087505A"/>
    <w:rsid w:val="00876EF5"/>
    <w:rsid w:val="0087771B"/>
    <w:rsid w:val="0087798A"/>
    <w:rsid w:val="00877D86"/>
    <w:rsid w:val="00881310"/>
    <w:rsid w:val="00881CA8"/>
    <w:rsid w:val="008824FD"/>
    <w:rsid w:val="0088309E"/>
    <w:rsid w:val="008846B4"/>
    <w:rsid w:val="00895FD8"/>
    <w:rsid w:val="00896BD2"/>
    <w:rsid w:val="0089731C"/>
    <w:rsid w:val="00897C69"/>
    <w:rsid w:val="008A01C2"/>
    <w:rsid w:val="008A1912"/>
    <w:rsid w:val="008A3111"/>
    <w:rsid w:val="008B286A"/>
    <w:rsid w:val="008B2F14"/>
    <w:rsid w:val="008B42A6"/>
    <w:rsid w:val="008C0612"/>
    <w:rsid w:val="008C25EA"/>
    <w:rsid w:val="008C284A"/>
    <w:rsid w:val="008D23B0"/>
    <w:rsid w:val="008D53C8"/>
    <w:rsid w:val="008E07ED"/>
    <w:rsid w:val="008E28FE"/>
    <w:rsid w:val="008E5272"/>
    <w:rsid w:val="008F14C6"/>
    <w:rsid w:val="008F1A66"/>
    <w:rsid w:val="008F237C"/>
    <w:rsid w:val="008F49AE"/>
    <w:rsid w:val="008F5796"/>
    <w:rsid w:val="008F5E6E"/>
    <w:rsid w:val="00901F84"/>
    <w:rsid w:val="00904F87"/>
    <w:rsid w:val="00907A4A"/>
    <w:rsid w:val="00912B99"/>
    <w:rsid w:val="0091330C"/>
    <w:rsid w:val="00914652"/>
    <w:rsid w:val="00921D28"/>
    <w:rsid w:val="00922D1F"/>
    <w:rsid w:val="00924878"/>
    <w:rsid w:val="00924B55"/>
    <w:rsid w:val="009274E6"/>
    <w:rsid w:val="009320F1"/>
    <w:rsid w:val="00933D6B"/>
    <w:rsid w:val="00934D74"/>
    <w:rsid w:val="00937008"/>
    <w:rsid w:val="00946506"/>
    <w:rsid w:val="009503E4"/>
    <w:rsid w:val="009548BC"/>
    <w:rsid w:val="0095506F"/>
    <w:rsid w:val="00955FCC"/>
    <w:rsid w:val="009625AD"/>
    <w:rsid w:val="00962B86"/>
    <w:rsid w:val="00964686"/>
    <w:rsid w:val="00964CD2"/>
    <w:rsid w:val="00971D14"/>
    <w:rsid w:val="009732A9"/>
    <w:rsid w:val="00974D13"/>
    <w:rsid w:val="009759B2"/>
    <w:rsid w:val="00976E01"/>
    <w:rsid w:val="00980796"/>
    <w:rsid w:val="00985C0A"/>
    <w:rsid w:val="009931E7"/>
    <w:rsid w:val="009935E2"/>
    <w:rsid w:val="00995272"/>
    <w:rsid w:val="009A1B54"/>
    <w:rsid w:val="009B38A0"/>
    <w:rsid w:val="009B4930"/>
    <w:rsid w:val="009B59F6"/>
    <w:rsid w:val="009B5C4E"/>
    <w:rsid w:val="009B76FB"/>
    <w:rsid w:val="009D09ED"/>
    <w:rsid w:val="009D1AF9"/>
    <w:rsid w:val="009D399A"/>
    <w:rsid w:val="009D70F7"/>
    <w:rsid w:val="009E1370"/>
    <w:rsid w:val="009E14DA"/>
    <w:rsid w:val="009E239B"/>
    <w:rsid w:val="009E4758"/>
    <w:rsid w:val="009E48C4"/>
    <w:rsid w:val="009E6C75"/>
    <w:rsid w:val="009F3BAB"/>
    <w:rsid w:val="00A014DF"/>
    <w:rsid w:val="00A0259B"/>
    <w:rsid w:val="00A07DC7"/>
    <w:rsid w:val="00A119A7"/>
    <w:rsid w:val="00A13668"/>
    <w:rsid w:val="00A13712"/>
    <w:rsid w:val="00A23A1E"/>
    <w:rsid w:val="00A24F07"/>
    <w:rsid w:val="00A26A12"/>
    <w:rsid w:val="00A339BE"/>
    <w:rsid w:val="00A407D5"/>
    <w:rsid w:val="00A457D0"/>
    <w:rsid w:val="00A476CA"/>
    <w:rsid w:val="00A54644"/>
    <w:rsid w:val="00A56021"/>
    <w:rsid w:val="00A56E31"/>
    <w:rsid w:val="00A61E99"/>
    <w:rsid w:val="00A62793"/>
    <w:rsid w:val="00A62BED"/>
    <w:rsid w:val="00A72682"/>
    <w:rsid w:val="00A7280F"/>
    <w:rsid w:val="00A739ED"/>
    <w:rsid w:val="00A75FD0"/>
    <w:rsid w:val="00A81107"/>
    <w:rsid w:val="00A82D52"/>
    <w:rsid w:val="00A8704F"/>
    <w:rsid w:val="00A901C5"/>
    <w:rsid w:val="00A90B2F"/>
    <w:rsid w:val="00A91672"/>
    <w:rsid w:val="00A959DB"/>
    <w:rsid w:val="00A95D3C"/>
    <w:rsid w:val="00A9666B"/>
    <w:rsid w:val="00AA12C3"/>
    <w:rsid w:val="00AA318D"/>
    <w:rsid w:val="00AA5732"/>
    <w:rsid w:val="00AA6314"/>
    <w:rsid w:val="00AB13CD"/>
    <w:rsid w:val="00AB1E9C"/>
    <w:rsid w:val="00AB2443"/>
    <w:rsid w:val="00AB2A1A"/>
    <w:rsid w:val="00AB6A08"/>
    <w:rsid w:val="00AB6A15"/>
    <w:rsid w:val="00AB7AC1"/>
    <w:rsid w:val="00AC0DFC"/>
    <w:rsid w:val="00AC1347"/>
    <w:rsid w:val="00AC2114"/>
    <w:rsid w:val="00AC25EC"/>
    <w:rsid w:val="00AC6E0A"/>
    <w:rsid w:val="00AD5EB9"/>
    <w:rsid w:val="00AD6E72"/>
    <w:rsid w:val="00AD7603"/>
    <w:rsid w:val="00AE4806"/>
    <w:rsid w:val="00AF2A72"/>
    <w:rsid w:val="00AF357C"/>
    <w:rsid w:val="00AF37D2"/>
    <w:rsid w:val="00AF386A"/>
    <w:rsid w:val="00AF5914"/>
    <w:rsid w:val="00AF7F93"/>
    <w:rsid w:val="00B001FF"/>
    <w:rsid w:val="00B02B31"/>
    <w:rsid w:val="00B122DF"/>
    <w:rsid w:val="00B13A0A"/>
    <w:rsid w:val="00B209F3"/>
    <w:rsid w:val="00B21E61"/>
    <w:rsid w:val="00B2325E"/>
    <w:rsid w:val="00B242DE"/>
    <w:rsid w:val="00B269B4"/>
    <w:rsid w:val="00B3049A"/>
    <w:rsid w:val="00B320E1"/>
    <w:rsid w:val="00B328AD"/>
    <w:rsid w:val="00B33B48"/>
    <w:rsid w:val="00B35CE3"/>
    <w:rsid w:val="00B41DCA"/>
    <w:rsid w:val="00B42BF4"/>
    <w:rsid w:val="00B454FD"/>
    <w:rsid w:val="00B461CF"/>
    <w:rsid w:val="00B504EF"/>
    <w:rsid w:val="00B5231F"/>
    <w:rsid w:val="00B62A67"/>
    <w:rsid w:val="00B63392"/>
    <w:rsid w:val="00B63B85"/>
    <w:rsid w:val="00B640B6"/>
    <w:rsid w:val="00B64B1A"/>
    <w:rsid w:val="00B717CF"/>
    <w:rsid w:val="00B73E4A"/>
    <w:rsid w:val="00B7631E"/>
    <w:rsid w:val="00B77ADB"/>
    <w:rsid w:val="00B858E9"/>
    <w:rsid w:val="00B8694A"/>
    <w:rsid w:val="00B86A55"/>
    <w:rsid w:val="00B93187"/>
    <w:rsid w:val="00B936B2"/>
    <w:rsid w:val="00B943CC"/>
    <w:rsid w:val="00B97E72"/>
    <w:rsid w:val="00BA069E"/>
    <w:rsid w:val="00BA72E9"/>
    <w:rsid w:val="00BB2FF0"/>
    <w:rsid w:val="00BB6967"/>
    <w:rsid w:val="00BC2A21"/>
    <w:rsid w:val="00BC2C73"/>
    <w:rsid w:val="00BC3A79"/>
    <w:rsid w:val="00BC64DF"/>
    <w:rsid w:val="00BD0D26"/>
    <w:rsid w:val="00BD1C03"/>
    <w:rsid w:val="00BD2ADD"/>
    <w:rsid w:val="00BD41D3"/>
    <w:rsid w:val="00BD70A6"/>
    <w:rsid w:val="00BD742D"/>
    <w:rsid w:val="00BE7AF5"/>
    <w:rsid w:val="00BF1761"/>
    <w:rsid w:val="00BF5E40"/>
    <w:rsid w:val="00BF6028"/>
    <w:rsid w:val="00C0083F"/>
    <w:rsid w:val="00C03279"/>
    <w:rsid w:val="00C1003C"/>
    <w:rsid w:val="00C10230"/>
    <w:rsid w:val="00C16ABD"/>
    <w:rsid w:val="00C2768F"/>
    <w:rsid w:val="00C277F6"/>
    <w:rsid w:val="00C30802"/>
    <w:rsid w:val="00C30931"/>
    <w:rsid w:val="00C33342"/>
    <w:rsid w:val="00C345B4"/>
    <w:rsid w:val="00C41EC0"/>
    <w:rsid w:val="00C420BA"/>
    <w:rsid w:val="00C43704"/>
    <w:rsid w:val="00C45386"/>
    <w:rsid w:val="00C47BE9"/>
    <w:rsid w:val="00C528BA"/>
    <w:rsid w:val="00C52A58"/>
    <w:rsid w:val="00C54640"/>
    <w:rsid w:val="00C549B2"/>
    <w:rsid w:val="00C54D5C"/>
    <w:rsid w:val="00C5633A"/>
    <w:rsid w:val="00C566E7"/>
    <w:rsid w:val="00C65604"/>
    <w:rsid w:val="00C70038"/>
    <w:rsid w:val="00C70EF2"/>
    <w:rsid w:val="00C71BDE"/>
    <w:rsid w:val="00C743C1"/>
    <w:rsid w:val="00C74FEC"/>
    <w:rsid w:val="00C82F76"/>
    <w:rsid w:val="00C92C03"/>
    <w:rsid w:val="00C93A93"/>
    <w:rsid w:val="00C95607"/>
    <w:rsid w:val="00C957E3"/>
    <w:rsid w:val="00C976BB"/>
    <w:rsid w:val="00CA02AC"/>
    <w:rsid w:val="00CA1D8C"/>
    <w:rsid w:val="00CA3D59"/>
    <w:rsid w:val="00CA7113"/>
    <w:rsid w:val="00CA7CE4"/>
    <w:rsid w:val="00CB05C3"/>
    <w:rsid w:val="00CB4B6F"/>
    <w:rsid w:val="00CB4BC8"/>
    <w:rsid w:val="00CB7E48"/>
    <w:rsid w:val="00CC0F73"/>
    <w:rsid w:val="00CD04B0"/>
    <w:rsid w:val="00CD39C2"/>
    <w:rsid w:val="00CE018A"/>
    <w:rsid w:val="00CE1F4D"/>
    <w:rsid w:val="00CE5D75"/>
    <w:rsid w:val="00CE6882"/>
    <w:rsid w:val="00CF2983"/>
    <w:rsid w:val="00CF6542"/>
    <w:rsid w:val="00D0185C"/>
    <w:rsid w:val="00D0496D"/>
    <w:rsid w:val="00D0579F"/>
    <w:rsid w:val="00D1023C"/>
    <w:rsid w:val="00D107F7"/>
    <w:rsid w:val="00D11EE1"/>
    <w:rsid w:val="00D14CE9"/>
    <w:rsid w:val="00D15D55"/>
    <w:rsid w:val="00D176A1"/>
    <w:rsid w:val="00D267DF"/>
    <w:rsid w:val="00D31291"/>
    <w:rsid w:val="00D3389C"/>
    <w:rsid w:val="00D356AD"/>
    <w:rsid w:val="00D3639C"/>
    <w:rsid w:val="00D3699B"/>
    <w:rsid w:val="00D377B0"/>
    <w:rsid w:val="00D4395A"/>
    <w:rsid w:val="00D46488"/>
    <w:rsid w:val="00D46DDE"/>
    <w:rsid w:val="00D534A0"/>
    <w:rsid w:val="00D5412C"/>
    <w:rsid w:val="00D60348"/>
    <w:rsid w:val="00D612A8"/>
    <w:rsid w:val="00D63701"/>
    <w:rsid w:val="00D72A5F"/>
    <w:rsid w:val="00D74711"/>
    <w:rsid w:val="00D77B2A"/>
    <w:rsid w:val="00D807BF"/>
    <w:rsid w:val="00D81204"/>
    <w:rsid w:val="00D81408"/>
    <w:rsid w:val="00D8483A"/>
    <w:rsid w:val="00D86275"/>
    <w:rsid w:val="00D9234A"/>
    <w:rsid w:val="00D93C2D"/>
    <w:rsid w:val="00D9647C"/>
    <w:rsid w:val="00DA1B1A"/>
    <w:rsid w:val="00DA1DA7"/>
    <w:rsid w:val="00DA2000"/>
    <w:rsid w:val="00DA4B7A"/>
    <w:rsid w:val="00DB0807"/>
    <w:rsid w:val="00DB2901"/>
    <w:rsid w:val="00DB553A"/>
    <w:rsid w:val="00DB6D79"/>
    <w:rsid w:val="00DC4D82"/>
    <w:rsid w:val="00DD1AAC"/>
    <w:rsid w:val="00DD5464"/>
    <w:rsid w:val="00DD7B1F"/>
    <w:rsid w:val="00DE0935"/>
    <w:rsid w:val="00DE4B68"/>
    <w:rsid w:val="00DF2F19"/>
    <w:rsid w:val="00E00368"/>
    <w:rsid w:val="00E06AF3"/>
    <w:rsid w:val="00E12060"/>
    <w:rsid w:val="00E1288E"/>
    <w:rsid w:val="00E13A8B"/>
    <w:rsid w:val="00E1536A"/>
    <w:rsid w:val="00E15726"/>
    <w:rsid w:val="00E15EF5"/>
    <w:rsid w:val="00E16F1A"/>
    <w:rsid w:val="00E2185C"/>
    <w:rsid w:val="00E21918"/>
    <w:rsid w:val="00E236D1"/>
    <w:rsid w:val="00E2428F"/>
    <w:rsid w:val="00E25A4D"/>
    <w:rsid w:val="00E26149"/>
    <w:rsid w:val="00E30D7F"/>
    <w:rsid w:val="00E319B0"/>
    <w:rsid w:val="00E345CF"/>
    <w:rsid w:val="00E35AA8"/>
    <w:rsid w:val="00E35E65"/>
    <w:rsid w:val="00E44999"/>
    <w:rsid w:val="00E44A5A"/>
    <w:rsid w:val="00E4508B"/>
    <w:rsid w:val="00E454BA"/>
    <w:rsid w:val="00E5098B"/>
    <w:rsid w:val="00E51665"/>
    <w:rsid w:val="00E5727E"/>
    <w:rsid w:val="00E70B08"/>
    <w:rsid w:val="00E76D1B"/>
    <w:rsid w:val="00E831E8"/>
    <w:rsid w:val="00E8481E"/>
    <w:rsid w:val="00E84A70"/>
    <w:rsid w:val="00E901DD"/>
    <w:rsid w:val="00E9028A"/>
    <w:rsid w:val="00E911BB"/>
    <w:rsid w:val="00E91D5A"/>
    <w:rsid w:val="00E924B0"/>
    <w:rsid w:val="00E96892"/>
    <w:rsid w:val="00E976E9"/>
    <w:rsid w:val="00EA0A43"/>
    <w:rsid w:val="00EA2DB4"/>
    <w:rsid w:val="00EA4E47"/>
    <w:rsid w:val="00EA6D48"/>
    <w:rsid w:val="00EA7036"/>
    <w:rsid w:val="00EB23C3"/>
    <w:rsid w:val="00EB26CF"/>
    <w:rsid w:val="00EB410F"/>
    <w:rsid w:val="00ED333E"/>
    <w:rsid w:val="00ED5107"/>
    <w:rsid w:val="00ED5B6E"/>
    <w:rsid w:val="00EE22DF"/>
    <w:rsid w:val="00EE243E"/>
    <w:rsid w:val="00EE33BF"/>
    <w:rsid w:val="00EE71D8"/>
    <w:rsid w:val="00EE7DFD"/>
    <w:rsid w:val="00EF204E"/>
    <w:rsid w:val="00F0008C"/>
    <w:rsid w:val="00F05EC7"/>
    <w:rsid w:val="00F07EB3"/>
    <w:rsid w:val="00F10276"/>
    <w:rsid w:val="00F11651"/>
    <w:rsid w:val="00F1498E"/>
    <w:rsid w:val="00F17CEF"/>
    <w:rsid w:val="00F2373F"/>
    <w:rsid w:val="00F24109"/>
    <w:rsid w:val="00F344E3"/>
    <w:rsid w:val="00F4205E"/>
    <w:rsid w:val="00F47D15"/>
    <w:rsid w:val="00F47DD9"/>
    <w:rsid w:val="00F47E1B"/>
    <w:rsid w:val="00F50735"/>
    <w:rsid w:val="00F52666"/>
    <w:rsid w:val="00F532CF"/>
    <w:rsid w:val="00F57FE2"/>
    <w:rsid w:val="00F635A3"/>
    <w:rsid w:val="00F6526F"/>
    <w:rsid w:val="00F71155"/>
    <w:rsid w:val="00F72A4C"/>
    <w:rsid w:val="00F749BC"/>
    <w:rsid w:val="00F76EC5"/>
    <w:rsid w:val="00F77BCE"/>
    <w:rsid w:val="00F82285"/>
    <w:rsid w:val="00F82B24"/>
    <w:rsid w:val="00F83A12"/>
    <w:rsid w:val="00F858E3"/>
    <w:rsid w:val="00F86543"/>
    <w:rsid w:val="00F93BC0"/>
    <w:rsid w:val="00FA14BF"/>
    <w:rsid w:val="00FA5F67"/>
    <w:rsid w:val="00FA7967"/>
    <w:rsid w:val="00FB0EA1"/>
    <w:rsid w:val="00FB39C3"/>
    <w:rsid w:val="00FB537F"/>
    <w:rsid w:val="00FC10A5"/>
    <w:rsid w:val="00FC1ADC"/>
    <w:rsid w:val="00FC2F16"/>
    <w:rsid w:val="00FC5CC6"/>
    <w:rsid w:val="00FC749A"/>
    <w:rsid w:val="00FD1101"/>
    <w:rsid w:val="00FD270F"/>
    <w:rsid w:val="00FD527F"/>
    <w:rsid w:val="00FD5A59"/>
    <w:rsid w:val="00FD74C1"/>
    <w:rsid w:val="00FE19A5"/>
    <w:rsid w:val="00FF1F1F"/>
    <w:rsid w:val="00FF4E61"/>
    <w:rsid w:val="00FF61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DC72A07"/>
  <w15:docId w15:val="{3F59DBFB-FCEF-42EE-B4FF-56E3D7B92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text"/>
    <w:qFormat/>
    <w:rsid w:val="0022344C"/>
    <w:pPr>
      <w:spacing w:after="120"/>
    </w:pPr>
    <w:rPr>
      <w:rFonts w:ascii="Arial" w:hAnsi="Arial"/>
      <w:color w:val="404040" w:themeColor="text1" w:themeTint="BF"/>
      <w:sz w:val="20"/>
    </w:rPr>
  </w:style>
  <w:style w:type="paragraph" w:styleId="Heading1">
    <w:name w:val="heading 1"/>
    <w:aliases w:val="Section heading"/>
    <w:basedOn w:val="Subtitle"/>
    <w:next w:val="Normal"/>
    <w:link w:val="Heading1Char"/>
    <w:uiPriority w:val="7"/>
    <w:qFormat/>
    <w:rsid w:val="00524E22"/>
    <w:pPr>
      <w:numPr>
        <w:numId w:val="1"/>
      </w:numPr>
      <w:ind w:left="567" w:hanging="567"/>
    </w:pPr>
    <w:rPr>
      <w:bCs w:val="0"/>
    </w:rPr>
  </w:style>
  <w:style w:type="paragraph" w:styleId="Heading2">
    <w:name w:val="heading 2"/>
    <w:aliases w:val="Level 1 subheading"/>
    <w:basedOn w:val="Normal"/>
    <w:next w:val="Normal"/>
    <w:link w:val="Heading2Char"/>
    <w:uiPriority w:val="7"/>
    <w:unhideWhenUsed/>
    <w:qFormat/>
    <w:rsid w:val="00AC2114"/>
    <w:pPr>
      <w:keepNext/>
      <w:keepLines/>
      <w:spacing w:before="120"/>
      <w:outlineLvl w:val="1"/>
    </w:pPr>
    <w:rPr>
      <w:rFonts w:eastAsiaTheme="majorEastAsia" w:cstheme="majorBidi"/>
      <w:b/>
      <w:bCs/>
      <w:color w:val="007C31"/>
      <w:sz w:val="22"/>
      <w:szCs w:val="26"/>
    </w:rPr>
  </w:style>
  <w:style w:type="paragraph" w:styleId="Heading3">
    <w:name w:val="heading 3"/>
    <w:aliases w:val="Level 2 subheading"/>
    <w:basedOn w:val="Normal"/>
    <w:next w:val="Normal"/>
    <w:link w:val="Heading3Char"/>
    <w:uiPriority w:val="7"/>
    <w:unhideWhenUsed/>
    <w:qFormat/>
    <w:rsid w:val="00C957E3"/>
    <w:pPr>
      <w:keepNext/>
      <w:keepLines/>
      <w:spacing w:before="120"/>
      <w:outlineLvl w:val="2"/>
    </w:pPr>
    <w:rPr>
      <w:rFonts w:eastAsiaTheme="majorEastAsia" w:cstheme="majorBidi"/>
      <w:b/>
      <w:color w:val="auto"/>
      <w:szCs w:val="24"/>
    </w:rPr>
  </w:style>
  <w:style w:type="paragraph" w:styleId="Heading4">
    <w:name w:val="heading 4"/>
    <w:aliases w:val="Level 3 subheading"/>
    <w:basedOn w:val="Normal"/>
    <w:next w:val="Normal"/>
    <w:link w:val="Heading4Char"/>
    <w:uiPriority w:val="7"/>
    <w:unhideWhenUsed/>
    <w:qFormat/>
    <w:rsid w:val="006A172D"/>
    <w:pPr>
      <w:outlineLvl w:val="3"/>
    </w:pPr>
    <w:rPr>
      <w:b/>
      <w:i/>
    </w:rPr>
  </w:style>
  <w:style w:type="paragraph" w:styleId="Heading5">
    <w:name w:val="heading 5"/>
    <w:basedOn w:val="Normal"/>
    <w:next w:val="Normal"/>
    <w:link w:val="Heading5Char"/>
    <w:uiPriority w:val="9"/>
    <w:unhideWhenUsed/>
    <w:rsid w:val="006A172D"/>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20B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F45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458B"/>
  </w:style>
  <w:style w:type="paragraph" w:styleId="Footer">
    <w:name w:val="footer"/>
    <w:basedOn w:val="Normal"/>
    <w:link w:val="FooterChar"/>
    <w:uiPriority w:val="99"/>
    <w:unhideWhenUsed/>
    <w:rsid w:val="004F45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458B"/>
  </w:style>
  <w:style w:type="paragraph" w:styleId="BalloonText">
    <w:name w:val="Balloon Text"/>
    <w:basedOn w:val="Normal"/>
    <w:link w:val="BalloonTextChar"/>
    <w:uiPriority w:val="99"/>
    <w:semiHidden/>
    <w:unhideWhenUsed/>
    <w:rsid w:val="004F45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458B"/>
    <w:rPr>
      <w:rFonts w:ascii="Tahoma" w:hAnsi="Tahoma" w:cs="Tahoma"/>
      <w:sz w:val="16"/>
      <w:szCs w:val="16"/>
    </w:rPr>
  </w:style>
  <w:style w:type="character" w:customStyle="1" w:styleId="Heading1Char">
    <w:name w:val="Heading 1 Char"/>
    <w:aliases w:val="Section heading Char"/>
    <w:basedOn w:val="DefaultParagraphFont"/>
    <w:link w:val="Heading1"/>
    <w:uiPriority w:val="7"/>
    <w:rsid w:val="00524E22"/>
    <w:rPr>
      <w:rFonts w:ascii="Arial" w:eastAsiaTheme="majorEastAsia" w:hAnsi="Arial" w:cstheme="majorBidi"/>
      <w:b/>
      <w:iCs/>
      <w:color w:val="007C31"/>
      <w:spacing w:val="15"/>
      <w:sz w:val="28"/>
      <w:szCs w:val="28"/>
    </w:rPr>
  </w:style>
  <w:style w:type="character" w:customStyle="1" w:styleId="Heading2Char">
    <w:name w:val="Heading 2 Char"/>
    <w:aliases w:val="Level 1 subheading Char"/>
    <w:basedOn w:val="DefaultParagraphFont"/>
    <w:link w:val="Heading2"/>
    <w:uiPriority w:val="7"/>
    <w:rsid w:val="0022344C"/>
    <w:rPr>
      <w:rFonts w:ascii="Arial" w:eastAsiaTheme="majorEastAsia" w:hAnsi="Arial" w:cstheme="majorBidi"/>
      <w:b/>
      <w:bCs/>
      <w:color w:val="007C31"/>
      <w:szCs w:val="26"/>
    </w:rPr>
  </w:style>
  <w:style w:type="paragraph" w:styleId="Title">
    <w:name w:val="Title"/>
    <w:basedOn w:val="Normal"/>
    <w:next w:val="Normal"/>
    <w:link w:val="TitleChar"/>
    <w:uiPriority w:val="10"/>
    <w:rsid w:val="000D0828"/>
    <w:pPr>
      <w:spacing w:before="240" w:after="480" w:line="240" w:lineRule="auto"/>
      <w:jc w:val="center"/>
    </w:pPr>
    <w:rPr>
      <w:rFonts w:eastAsiaTheme="majorEastAsia" w:cstheme="majorBidi"/>
      <w:b/>
      <w:spacing w:val="5"/>
      <w:kern w:val="28"/>
      <w:sz w:val="32"/>
      <w:szCs w:val="52"/>
    </w:rPr>
  </w:style>
  <w:style w:type="character" w:customStyle="1" w:styleId="TitleChar">
    <w:name w:val="Title Char"/>
    <w:basedOn w:val="DefaultParagraphFont"/>
    <w:link w:val="Title"/>
    <w:uiPriority w:val="10"/>
    <w:rsid w:val="000D0828"/>
    <w:rPr>
      <w:rFonts w:ascii="Arial" w:eastAsiaTheme="majorEastAsia" w:hAnsi="Arial" w:cstheme="majorBidi"/>
      <w:b/>
      <w:color w:val="404040" w:themeColor="text1" w:themeTint="BF"/>
      <w:spacing w:val="5"/>
      <w:kern w:val="28"/>
      <w:sz w:val="32"/>
      <w:szCs w:val="52"/>
    </w:rPr>
  </w:style>
  <w:style w:type="paragraph" w:styleId="Subtitle">
    <w:name w:val="Subtitle"/>
    <w:aliases w:val="SEC Paper Heading"/>
    <w:basedOn w:val="Normal"/>
    <w:next w:val="Normal"/>
    <w:link w:val="SubtitleChar"/>
    <w:autoRedefine/>
    <w:uiPriority w:val="11"/>
    <w:rsid w:val="00C30802"/>
    <w:pPr>
      <w:keepNext/>
      <w:keepLines/>
      <w:pBdr>
        <w:bottom w:val="single" w:sz="4" w:space="1" w:color="007C31"/>
      </w:pBdr>
      <w:spacing w:before="480" w:after="360"/>
      <w:outlineLvl w:val="0"/>
    </w:pPr>
    <w:rPr>
      <w:rFonts w:eastAsiaTheme="majorEastAsia" w:cstheme="majorBidi"/>
      <w:b/>
      <w:bCs/>
      <w:iCs/>
      <w:color w:val="007C31"/>
      <w:spacing w:val="15"/>
      <w:sz w:val="28"/>
      <w:szCs w:val="28"/>
    </w:rPr>
  </w:style>
  <w:style w:type="character" w:customStyle="1" w:styleId="SubtitleChar">
    <w:name w:val="Subtitle Char"/>
    <w:aliases w:val="SEC Paper Heading Char"/>
    <w:basedOn w:val="DefaultParagraphFont"/>
    <w:link w:val="Subtitle"/>
    <w:uiPriority w:val="11"/>
    <w:rsid w:val="00C30802"/>
    <w:rPr>
      <w:rFonts w:ascii="Arial" w:eastAsiaTheme="majorEastAsia" w:hAnsi="Arial" w:cstheme="majorBidi"/>
      <w:b/>
      <w:bCs/>
      <w:iCs/>
      <w:color w:val="007C31"/>
      <w:spacing w:val="15"/>
      <w:sz w:val="28"/>
      <w:szCs w:val="28"/>
    </w:rPr>
  </w:style>
  <w:style w:type="character" w:customStyle="1" w:styleId="MRABodyChar">
    <w:name w:val="MRA Body Char"/>
    <w:basedOn w:val="DefaultParagraphFont"/>
    <w:link w:val="MRABody"/>
    <w:locked/>
    <w:rsid w:val="00E1288E"/>
  </w:style>
  <w:style w:type="paragraph" w:customStyle="1" w:styleId="MRABody">
    <w:name w:val="MRA Body"/>
    <w:basedOn w:val="Normal"/>
    <w:link w:val="MRABodyChar"/>
    <w:rsid w:val="00E1288E"/>
    <w:pPr>
      <w:keepLines/>
      <w:spacing w:line="288" w:lineRule="auto"/>
      <w:jc w:val="both"/>
    </w:pPr>
    <w:rPr>
      <w:rFonts w:asciiTheme="minorHAnsi" w:hAnsiTheme="minorHAnsi"/>
      <w:color w:val="auto"/>
      <w:sz w:val="22"/>
    </w:rPr>
  </w:style>
  <w:style w:type="table" w:customStyle="1" w:styleId="SECTable">
    <w:name w:val="SEC Table"/>
    <w:basedOn w:val="TableNormal"/>
    <w:uiPriority w:val="99"/>
    <w:rsid w:val="00881CA8"/>
    <w:pPr>
      <w:spacing w:after="0" w:line="240" w:lineRule="auto"/>
    </w:pPr>
    <w:rPr>
      <w:rFonts w:ascii="Arial" w:hAnsi="Arial"/>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rFonts w:ascii="Arial" w:hAnsi="Arial"/>
        <w:b/>
        <w:color w:val="FFFFFF" w:themeColor="background1"/>
        <w:sz w:val="20"/>
      </w:rPr>
      <w:tblPr/>
      <w:tcPr>
        <w:shd w:val="clear" w:color="auto" w:fill="00B0F0"/>
      </w:tcPr>
    </w:tblStylePr>
  </w:style>
  <w:style w:type="paragraph" w:styleId="ListParagraph">
    <w:name w:val="List Paragraph"/>
    <w:aliases w:val="Bullet text"/>
    <w:basedOn w:val="Normal"/>
    <w:link w:val="ListParagraphChar"/>
    <w:qFormat/>
    <w:rsid w:val="00351AD1"/>
    <w:pPr>
      <w:numPr>
        <w:numId w:val="2"/>
      </w:numPr>
    </w:pPr>
  </w:style>
  <w:style w:type="paragraph" w:customStyle="1" w:styleId="SECPaperTitle">
    <w:name w:val="SEC Paper Title"/>
    <w:basedOn w:val="Title"/>
    <w:link w:val="SECPaperTitleChar"/>
    <w:rsid w:val="001E4249"/>
  </w:style>
  <w:style w:type="paragraph" w:customStyle="1" w:styleId="Sub-Heading">
    <w:name w:val="Sub-Heading"/>
    <w:basedOn w:val="Normal"/>
    <w:link w:val="Sub-HeadingChar"/>
    <w:rsid w:val="00267F7B"/>
    <w:rPr>
      <w:b/>
    </w:rPr>
  </w:style>
  <w:style w:type="character" w:customStyle="1" w:styleId="SECPaperTitleChar">
    <w:name w:val="SEC Paper Title Char"/>
    <w:basedOn w:val="TitleChar"/>
    <w:link w:val="SECPaperTitle"/>
    <w:rsid w:val="001E4249"/>
    <w:rPr>
      <w:rFonts w:ascii="Arial" w:eastAsiaTheme="majorEastAsia" w:hAnsi="Arial" w:cstheme="majorBidi"/>
      <w:b/>
      <w:color w:val="404040" w:themeColor="text1" w:themeTint="BF"/>
      <w:spacing w:val="5"/>
      <w:kern w:val="28"/>
      <w:sz w:val="32"/>
      <w:szCs w:val="52"/>
    </w:rPr>
  </w:style>
  <w:style w:type="numbering" w:customStyle="1" w:styleId="SECPanelPaperHeadings">
    <w:name w:val="SEC Panel Paper Headings"/>
    <w:uiPriority w:val="99"/>
    <w:rsid w:val="00E5727E"/>
    <w:pPr>
      <w:numPr>
        <w:numId w:val="3"/>
      </w:numPr>
    </w:pPr>
  </w:style>
  <w:style w:type="character" w:customStyle="1" w:styleId="Sub-HeadingChar">
    <w:name w:val="Sub-Heading Char"/>
    <w:basedOn w:val="DefaultParagraphFont"/>
    <w:link w:val="Sub-Heading"/>
    <w:rsid w:val="00267F7B"/>
    <w:rPr>
      <w:rFonts w:ascii="Arial" w:hAnsi="Arial"/>
      <w:b/>
      <w:color w:val="404040" w:themeColor="text1" w:themeTint="BF"/>
      <w:sz w:val="20"/>
    </w:rPr>
  </w:style>
  <w:style w:type="paragraph" w:styleId="Caption">
    <w:name w:val="caption"/>
    <w:aliases w:val="Caption SEC Table"/>
    <w:basedOn w:val="Sub-Heading"/>
    <w:next w:val="Normal"/>
    <w:uiPriority w:val="35"/>
    <w:unhideWhenUsed/>
    <w:rsid w:val="006A172D"/>
    <w:pPr>
      <w:ind w:left="709" w:hanging="709"/>
      <w:jc w:val="right"/>
    </w:pPr>
    <w:rPr>
      <w:b w:val="0"/>
      <w:i/>
    </w:rPr>
  </w:style>
  <w:style w:type="paragraph" w:customStyle="1" w:styleId="Subtitle2">
    <w:name w:val="Subtitle2"/>
    <w:aliases w:val="SEC Paper Sub-Heading"/>
    <w:basedOn w:val="Subtitle"/>
    <w:next w:val="Normal"/>
    <w:rsid w:val="00F57FE2"/>
    <w:pPr>
      <w:numPr>
        <w:ilvl w:val="1"/>
      </w:numPr>
      <w:spacing w:before="0"/>
    </w:pPr>
    <w:rPr>
      <w:sz w:val="20"/>
    </w:rPr>
  </w:style>
  <w:style w:type="numbering" w:customStyle="1" w:styleId="Subtitles">
    <w:name w:val="Subtitles"/>
    <w:uiPriority w:val="99"/>
    <w:rsid w:val="00A75FD0"/>
    <w:pPr>
      <w:numPr>
        <w:numId w:val="4"/>
      </w:numPr>
    </w:pPr>
  </w:style>
  <w:style w:type="character" w:styleId="CommentReference">
    <w:name w:val="annotation reference"/>
    <w:basedOn w:val="DefaultParagraphFont"/>
    <w:uiPriority w:val="99"/>
    <w:semiHidden/>
    <w:unhideWhenUsed/>
    <w:rsid w:val="00170C40"/>
    <w:rPr>
      <w:sz w:val="16"/>
      <w:szCs w:val="16"/>
    </w:rPr>
  </w:style>
  <w:style w:type="paragraph" w:styleId="CommentText">
    <w:name w:val="annotation text"/>
    <w:basedOn w:val="Normal"/>
    <w:link w:val="CommentTextChar"/>
    <w:uiPriority w:val="99"/>
    <w:unhideWhenUsed/>
    <w:rsid w:val="00170C40"/>
    <w:pPr>
      <w:spacing w:line="240" w:lineRule="auto"/>
    </w:pPr>
    <w:rPr>
      <w:szCs w:val="20"/>
    </w:rPr>
  </w:style>
  <w:style w:type="character" w:customStyle="1" w:styleId="CommentTextChar">
    <w:name w:val="Comment Text Char"/>
    <w:basedOn w:val="DefaultParagraphFont"/>
    <w:link w:val="CommentText"/>
    <w:uiPriority w:val="99"/>
    <w:rsid w:val="00170C40"/>
    <w:rPr>
      <w:rFonts w:ascii="Arial" w:hAnsi="Arial"/>
      <w:color w:val="404040" w:themeColor="text1" w:themeTint="BF"/>
      <w:sz w:val="20"/>
      <w:szCs w:val="20"/>
    </w:rPr>
  </w:style>
  <w:style w:type="paragraph" w:styleId="CommentSubject">
    <w:name w:val="annotation subject"/>
    <w:basedOn w:val="CommentText"/>
    <w:next w:val="CommentText"/>
    <w:link w:val="CommentSubjectChar"/>
    <w:uiPriority w:val="99"/>
    <w:semiHidden/>
    <w:unhideWhenUsed/>
    <w:rsid w:val="00170C40"/>
    <w:rPr>
      <w:b/>
      <w:bCs/>
    </w:rPr>
  </w:style>
  <w:style w:type="character" w:customStyle="1" w:styleId="CommentSubjectChar">
    <w:name w:val="Comment Subject Char"/>
    <w:basedOn w:val="CommentTextChar"/>
    <w:link w:val="CommentSubject"/>
    <w:uiPriority w:val="99"/>
    <w:semiHidden/>
    <w:rsid w:val="00170C40"/>
    <w:rPr>
      <w:rFonts w:ascii="Arial" w:hAnsi="Arial"/>
      <w:b/>
      <w:bCs/>
      <w:color w:val="404040" w:themeColor="text1" w:themeTint="BF"/>
      <w:sz w:val="20"/>
      <w:szCs w:val="20"/>
    </w:rPr>
  </w:style>
  <w:style w:type="paragraph" w:customStyle="1" w:styleId="Default">
    <w:name w:val="Default"/>
    <w:rsid w:val="008E5272"/>
    <w:pPr>
      <w:autoSpaceDE w:val="0"/>
      <w:autoSpaceDN w:val="0"/>
      <w:adjustRightInd w:val="0"/>
      <w:spacing w:after="0" w:line="240" w:lineRule="auto"/>
    </w:pPr>
    <w:rPr>
      <w:rFonts w:ascii="Arial" w:hAnsi="Arial" w:cs="Arial"/>
      <w:color w:val="000000"/>
      <w:sz w:val="24"/>
      <w:szCs w:val="24"/>
    </w:rPr>
  </w:style>
  <w:style w:type="paragraph" w:styleId="FootnoteText">
    <w:name w:val="footnote text"/>
    <w:basedOn w:val="Normal"/>
    <w:link w:val="FootnoteTextChar"/>
    <w:uiPriority w:val="99"/>
    <w:semiHidden/>
    <w:unhideWhenUsed/>
    <w:rsid w:val="009A1B54"/>
    <w:pPr>
      <w:spacing w:after="0" w:line="240" w:lineRule="auto"/>
    </w:pPr>
    <w:rPr>
      <w:szCs w:val="20"/>
    </w:rPr>
  </w:style>
  <w:style w:type="character" w:customStyle="1" w:styleId="FootnoteTextChar">
    <w:name w:val="Footnote Text Char"/>
    <w:basedOn w:val="DefaultParagraphFont"/>
    <w:link w:val="FootnoteText"/>
    <w:uiPriority w:val="99"/>
    <w:semiHidden/>
    <w:rsid w:val="009A1B54"/>
    <w:rPr>
      <w:rFonts w:ascii="Arial" w:hAnsi="Arial"/>
      <w:color w:val="404040" w:themeColor="text1" w:themeTint="BF"/>
      <w:sz w:val="20"/>
      <w:szCs w:val="20"/>
    </w:rPr>
  </w:style>
  <w:style w:type="character" w:styleId="FootnoteReference">
    <w:name w:val="footnote reference"/>
    <w:basedOn w:val="DefaultParagraphFont"/>
    <w:uiPriority w:val="99"/>
    <w:semiHidden/>
    <w:unhideWhenUsed/>
    <w:rsid w:val="009A1B54"/>
    <w:rPr>
      <w:vertAlign w:val="superscript"/>
    </w:rPr>
  </w:style>
  <w:style w:type="paragraph" w:styleId="PlainText">
    <w:name w:val="Plain Text"/>
    <w:basedOn w:val="Normal"/>
    <w:link w:val="PlainTextChar"/>
    <w:uiPriority w:val="99"/>
    <w:semiHidden/>
    <w:unhideWhenUsed/>
    <w:rsid w:val="00466069"/>
    <w:pPr>
      <w:spacing w:after="0" w:line="240" w:lineRule="auto"/>
    </w:pPr>
    <w:rPr>
      <w:rFonts w:ascii="Calibri" w:hAnsi="Calibri" w:cs="Consolas"/>
      <w:color w:val="auto"/>
      <w:sz w:val="22"/>
      <w:szCs w:val="21"/>
    </w:rPr>
  </w:style>
  <w:style w:type="character" w:customStyle="1" w:styleId="PlainTextChar">
    <w:name w:val="Plain Text Char"/>
    <w:basedOn w:val="DefaultParagraphFont"/>
    <w:link w:val="PlainText"/>
    <w:uiPriority w:val="99"/>
    <w:semiHidden/>
    <w:rsid w:val="00466069"/>
    <w:rPr>
      <w:rFonts w:ascii="Calibri" w:hAnsi="Calibri" w:cs="Consolas"/>
      <w:szCs w:val="21"/>
    </w:rPr>
  </w:style>
  <w:style w:type="character" w:customStyle="1" w:styleId="apple-converted-space">
    <w:name w:val="apple-converted-space"/>
    <w:basedOn w:val="DefaultParagraphFont"/>
    <w:rsid w:val="004E0D05"/>
  </w:style>
  <w:style w:type="character" w:styleId="SubtleEmphasis">
    <w:name w:val="Subtle Emphasis"/>
    <w:basedOn w:val="DefaultParagraphFont"/>
    <w:uiPriority w:val="19"/>
    <w:rsid w:val="00AC2114"/>
    <w:rPr>
      <w:i/>
      <w:iCs/>
      <w:color w:val="404040" w:themeColor="text1" w:themeTint="BF"/>
    </w:rPr>
  </w:style>
  <w:style w:type="character" w:styleId="Emphasis">
    <w:name w:val="Emphasis"/>
    <w:basedOn w:val="DefaultParagraphFont"/>
    <w:uiPriority w:val="20"/>
    <w:rsid w:val="00AC2114"/>
    <w:rPr>
      <w:i/>
      <w:iCs/>
    </w:rPr>
  </w:style>
  <w:style w:type="character" w:styleId="IntenseEmphasis">
    <w:name w:val="Intense Emphasis"/>
    <w:basedOn w:val="DefaultParagraphFont"/>
    <w:uiPriority w:val="21"/>
    <w:rsid w:val="00AC2114"/>
    <w:rPr>
      <w:i/>
      <w:iCs/>
      <w:color w:val="4F81BD" w:themeColor="accent1"/>
    </w:rPr>
  </w:style>
  <w:style w:type="character" w:styleId="Strong">
    <w:name w:val="Strong"/>
    <w:basedOn w:val="DefaultParagraphFont"/>
    <w:uiPriority w:val="22"/>
    <w:rsid w:val="00AC2114"/>
    <w:rPr>
      <w:b/>
      <w:bCs/>
    </w:rPr>
  </w:style>
  <w:style w:type="paragraph" w:styleId="Quote">
    <w:name w:val="Quote"/>
    <w:basedOn w:val="Normal"/>
    <w:next w:val="Normal"/>
    <w:link w:val="QuoteChar"/>
    <w:uiPriority w:val="29"/>
    <w:rsid w:val="00AC2114"/>
    <w:pPr>
      <w:spacing w:before="200" w:after="160"/>
      <w:ind w:left="864" w:right="864"/>
      <w:jc w:val="center"/>
    </w:pPr>
    <w:rPr>
      <w:i/>
      <w:iCs/>
    </w:rPr>
  </w:style>
  <w:style w:type="character" w:customStyle="1" w:styleId="QuoteChar">
    <w:name w:val="Quote Char"/>
    <w:basedOn w:val="DefaultParagraphFont"/>
    <w:link w:val="Quote"/>
    <w:uiPriority w:val="29"/>
    <w:rsid w:val="00AC2114"/>
    <w:rPr>
      <w:rFonts w:ascii="Arial" w:hAnsi="Arial"/>
      <w:i/>
      <w:iCs/>
      <w:color w:val="404040" w:themeColor="text1" w:themeTint="BF"/>
      <w:sz w:val="20"/>
    </w:rPr>
  </w:style>
  <w:style w:type="paragraph" w:styleId="IntenseQuote">
    <w:name w:val="Intense Quote"/>
    <w:basedOn w:val="Normal"/>
    <w:next w:val="Normal"/>
    <w:link w:val="IntenseQuoteChar"/>
    <w:uiPriority w:val="30"/>
    <w:rsid w:val="00AC2114"/>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AC2114"/>
    <w:rPr>
      <w:rFonts w:ascii="Arial" w:hAnsi="Arial"/>
      <w:i/>
      <w:iCs/>
      <w:color w:val="4F81BD" w:themeColor="accent1"/>
      <w:sz w:val="20"/>
    </w:rPr>
  </w:style>
  <w:style w:type="character" w:customStyle="1" w:styleId="Heading3Char">
    <w:name w:val="Heading 3 Char"/>
    <w:aliases w:val="Level 2 subheading Char"/>
    <w:basedOn w:val="DefaultParagraphFont"/>
    <w:link w:val="Heading3"/>
    <w:uiPriority w:val="7"/>
    <w:rsid w:val="0022344C"/>
    <w:rPr>
      <w:rFonts w:ascii="Arial" w:eastAsiaTheme="majorEastAsia" w:hAnsi="Arial" w:cstheme="majorBidi"/>
      <w:b/>
      <w:sz w:val="20"/>
      <w:szCs w:val="24"/>
    </w:rPr>
  </w:style>
  <w:style w:type="character" w:styleId="Hyperlink">
    <w:name w:val="Hyperlink"/>
    <w:basedOn w:val="DefaultParagraphFont"/>
    <w:uiPriority w:val="99"/>
    <w:unhideWhenUsed/>
    <w:rsid w:val="00073F86"/>
    <w:rPr>
      <w:color w:val="0563C1"/>
      <w:u w:val="single"/>
    </w:rPr>
  </w:style>
  <w:style w:type="character" w:styleId="UnresolvedMention">
    <w:name w:val="Unresolved Mention"/>
    <w:basedOn w:val="DefaultParagraphFont"/>
    <w:uiPriority w:val="99"/>
    <w:semiHidden/>
    <w:unhideWhenUsed/>
    <w:rsid w:val="00687160"/>
    <w:rPr>
      <w:color w:val="808080"/>
      <w:shd w:val="clear" w:color="auto" w:fill="E6E6E6"/>
    </w:rPr>
  </w:style>
  <w:style w:type="character" w:styleId="PlaceholderText">
    <w:name w:val="Placeholder Text"/>
    <w:basedOn w:val="DefaultParagraphFont"/>
    <w:uiPriority w:val="99"/>
    <w:semiHidden/>
    <w:rsid w:val="0004306A"/>
    <w:rPr>
      <w:color w:val="808080"/>
    </w:rPr>
  </w:style>
  <w:style w:type="character" w:customStyle="1" w:styleId="ListParagraphChar">
    <w:name w:val="List Paragraph Char"/>
    <w:aliases w:val="Bullet text Char"/>
    <w:basedOn w:val="DefaultParagraphFont"/>
    <w:link w:val="ListParagraph"/>
    <w:qFormat/>
    <w:locked/>
    <w:rsid w:val="0022344C"/>
    <w:rPr>
      <w:rFonts w:ascii="Arial" w:hAnsi="Arial"/>
      <w:color w:val="404040" w:themeColor="text1" w:themeTint="BF"/>
      <w:sz w:val="20"/>
    </w:rPr>
  </w:style>
  <w:style w:type="character" w:customStyle="1" w:styleId="Heading4Char">
    <w:name w:val="Heading 4 Char"/>
    <w:aliases w:val="Level 3 subheading Char"/>
    <w:basedOn w:val="DefaultParagraphFont"/>
    <w:link w:val="Heading4"/>
    <w:uiPriority w:val="7"/>
    <w:rsid w:val="0022344C"/>
    <w:rPr>
      <w:rFonts w:ascii="Arial" w:hAnsi="Arial"/>
      <w:b/>
      <w:i/>
      <w:color w:val="404040" w:themeColor="text1" w:themeTint="BF"/>
      <w:sz w:val="20"/>
    </w:rPr>
  </w:style>
  <w:style w:type="character" w:customStyle="1" w:styleId="Heading5Char">
    <w:name w:val="Heading 5 Char"/>
    <w:basedOn w:val="DefaultParagraphFont"/>
    <w:link w:val="Heading5"/>
    <w:uiPriority w:val="9"/>
    <w:rsid w:val="006A172D"/>
    <w:rPr>
      <w:rFonts w:asciiTheme="majorHAnsi" w:eastAsiaTheme="majorEastAsia" w:hAnsiTheme="majorHAnsi" w:cstheme="majorBidi"/>
      <w:color w:val="365F91" w:themeColor="accent1" w:themeShade="BF"/>
      <w:sz w:val="20"/>
    </w:rPr>
  </w:style>
  <w:style w:type="paragraph" w:styleId="TOC2">
    <w:name w:val="toc 2"/>
    <w:basedOn w:val="Normal"/>
    <w:next w:val="Normal"/>
    <w:autoRedefine/>
    <w:uiPriority w:val="39"/>
    <w:unhideWhenUsed/>
    <w:rsid w:val="00B62A67"/>
    <w:pPr>
      <w:spacing w:after="100"/>
      <w:ind w:left="200"/>
    </w:pPr>
  </w:style>
  <w:style w:type="paragraph" w:styleId="TOC1">
    <w:name w:val="toc 1"/>
    <w:basedOn w:val="Normal"/>
    <w:next w:val="Normal"/>
    <w:autoRedefine/>
    <w:uiPriority w:val="39"/>
    <w:unhideWhenUsed/>
    <w:rsid w:val="00B62A67"/>
    <w:pPr>
      <w:spacing w:after="100"/>
    </w:pPr>
    <w:rPr>
      <w:color w:val="007C31"/>
      <w:sz w:val="22"/>
    </w:rPr>
  </w:style>
  <w:style w:type="paragraph" w:customStyle="1" w:styleId="Questiontitle">
    <w:name w:val="Question title"/>
    <w:basedOn w:val="Normal"/>
    <w:uiPriority w:val="8"/>
    <w:rsid w:val="00375D68"/>
    <w:pPr>
      <w:keepNext/>
      <w:spacing w:before="40" w:after="40" w:line="240" w:lineRule="auto"/>
      <w:jc w:val="center"/>
    </w:pPr>
    <w:rPr>
      <w:b/>
      <w:color w:val="FFFFFF" w:themeColor="background1"/>
    </w:rPr>
  </w:style>
  <w:style w:type="paragraph" w:customStyle="1" w:styleId="Questionheader">
    <w:name w:val="Question header"/>
    <w:basedOn w:val="Normal"/>
    <w:uiPriority w:val="8"/>
    <w:rsid w:val="004371AB"/>
    <w:pPr>
      <w:keepNext/>
      <w:spacing w:before="40" w:after="80" w:line="288" w:lineRule="auto"/>
      <w:jc w:val="center"/>
    </w:pPr>
    <w:rPr>
      <w:b/>
      <w:color w:val="007C31"/>
    </w:rPr>
  </w:style>
  <w:style w:type="paragraph" w:customStyle="1" w:styleId="Questionbodytext">
    <w:name w:val="Question body text"/>
    <w:basedOn w:val="Normal"/>
    <w:uiPriority w:val="8"/>
    <w:rsid w:val="004371AB"/>
    <w:pPr>
      <w:spacing w:before="40" w:after="80" w:line="288" w:lineRule="auto"/>
    </w:pPr>
  </w:style>
  <w:style w:type="paragraph" w:customStyle="1" w:styleId="Tabletitle">
    <w:name w:val="Table title"/>
    <w:basedOn w:val="Normal"/>
    <w:uiPriority w:val="8"/>
    <w:qFormat/>
    <w:rsid w:val="002A7613"/>
    <w:pPr>
      <w:keepNext/>
      <w:spacing w:before="40" w:after="40" w:line="240" w:lineRule="auto"/>
      <w:jc w:val="center"/>
    </w:pPr>
    <w:rPr>
      <w:b/>
      <w:color w:val="FFFFFF" w:themeColor="background1"/>
    </w:rPr>
  </w:style>
  <w:style w:type="paragraph" w:customStyle="1" w:styleId="Tablecolumheader">
    <w:name w:val="Table colum header"/>
    <w:basedOn w:val="Normal"/>
    <w:uiPriority w:val="8"/>
    <w:qFormat/>
    <w:rsid w:val="002A7613"/>
    <w:pPr>
      <w:keepNext/>
      <w:spacing w:before="40" w:after="40" w:line="240" w:lineRule="auto"/>
      <w:jc w:val="center"/>
    </w:pPr>
    <w:rPr>
      <w:b/>
      <w:color w:val="007C31"/>
    </w:rPr>
  </w:style>
  <w:style w:type="paragraph" w:customStyle="1" w:styleId="Tablebodytext">
    <w:name w:val="Table body text"/>
    <w:basedOn w:val="Normal"/>
    <w:uiPriority w:val="8"/>
    <w:qFormat/>
    <w:rsid w:val="002A7613"/>
    <w:pPr>
      <w:spacing w:before="40" w:after="4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66772">
      <w:bodyDiv w:val="1"/>
      <w:marLeft w:val="0"/>
      <w:marRight w:val="0"/>
      <w:marTop w:val="0"/>
      <w:marBottom w:val="0"/>
      <w:divBdr>
        <w:top w:val="none" w:sz="0" w:space="0" w:color="auto"/>
        <w:left w:val="none" w:sz="0" w:space="0" w:color="auto"/>
        <w:bottom w:val="none" w:sz="0" w:space="0" w:color="auto"/>
        <w:right w:val="none" w:sz="0" w:space="0" w:color="auto"/>
      </w:divBdr>
    </w:div>
    <w:div w:id="30540658">
      <w:bodyDiv w:val="1"/>
      <w:marLeft w:val="0"/>
      <w:marRight w:val="0"/>
      <w:marTop w:val="0"/>
      <w:marBottom w:val="0"/>
      <w:divBdr>
        <w:top w:val="none" w:sz="0" w:space="0" w:color="auto"/>
        <w:left w:val="none" w:sz="0" w:space="0" w:color="auto"/>
        <w:bottom w:val="none" w:sz="0" w:space="0" w:color="auto"/>
        <w:right w:val="none" w:sz="0" w:space="0" w:color="auto"/>
      </w:divBdr>
    </w:div>
    <w:div w:id="61104298">
      <w:bodyDiv w:val="1"/>
      <w:marLeft w:val="0"/>
      <w:marRight w:val="0"/>
      <w:marTop w:val="0"/>
      <w:marBottom w:val="0"/>
      <w:divBdr>
        <w:top w:val="none" w:sz="0" w:space="0" w:color="auto"/>
        <w:left w:val="none" w:sz="0" w:space="0" w:color="auto"/>
        <w:bottom w:val="none" w:sz="0" w:space="0" w:color="auto"/>
        <w:right w:val="none" w:sz="0" w:space="0" w:color="auto"/>
      </w:divBdr>
    </w:div>
    <w:div w:id="161089327">
      <w:bodyDiv w:val="1"/>
      <w:marLeft w:val="0"/>
      <w:marRight w:val="0"/>
      <w:marTop w:val="0"/>
      <w:marBottom w:val="0"/>
      <w:divBdr>
        <w:top w:val="none" w:sz="0" w:space="0" w:color="auto"/>
        <w:left w:val="none" w:sz="0" w:space="0" w:color="auto"/>
        <w:bottom w:val="none" w:sz="0" w:space="0" w:color="auto"/>
        <w:right w:val="none" w:sz="0" w:space="0" w:color="auto"/>
      </w:divBdr>
    </w:div>
    <w:div w:id="561988864">
      <w:bodyDiv w:val="1"/>
      <w:marLeft w:val="0"/>
      <w:marRight w:val="0"/>
      <w:marTop w:val="0"/>
      <w:marBottom w:val="0"/>
      <w:divBdr>
        <w:top w:val="none" w:sz="0" w:space="0" w:color="auto"/>
        <w:left w:val="none" w:sz="0" w:space="0" w:color="auto"/>
        <w:bottom w:val="none" w:sz="0" w:space="0" w:color="auto"/>
        <w:right w:val="none" w:sz="0" w:space="0" w:color="auto"/>
      </w:divBdr>
    </w:div>
    <w:div w:id="1001933152">
      <w:bodyDiv w:val="1"/>
      <w:marLeft w:val="0"/>
      <w:marRight w:val="0"/>
      <w:marTop w:val="0"/>
      <w:marBottom w:val="0"/>
      <w:divBdr>
        <w:top w:val="none" w:sz="0" w:space="0" w:color="auto"/>
        <w:left w:val="none" w:sz="0" w:space="0" w:color="auto"/>
        <w:bottom w:val="none" w:sz="0" w:space="0" w:color="auto"/>
        <w:right w:val="none" w:sz="0" w:space="0" w:color="auto"/>
      </w:divBdr>
    </w:div>
    <w:div w:id="1030912772">
      <w:bodyDiv w:val="1"/>
      <w:marLeft w:val="0"/>
      <w:marRight w:val="0"/>
      <w:marTop w:val="0"/>
      <w:marBottom w:val="0"/>
      <w:divBdr>
        <w:top w:val="none" w:sz="0" w:space="0" w:color="auto"/>
        <w:left w:val="none" w:sz="0" w:space="0" w:color="auto"/>
        <w:bottom w:val="none" w:sz="0" w:space="0" w:color="auto"/>
        <w:right w:val="none" w:sz="0" w:space="0" w:color="auto"/>
      </w:divBdr>
    </w:div>
    <w:div w:id="1252081210">
      <w:bodyDiv w:val="1"/>
      <w:marLeft w:val="0"/>
      <w:marRight w:val="0"/>
      <w:marTop w:val="0"/>
      <w:marBottom w:val="0"/>
      <w:divBdr>
        <w:top w:val="none" w:sz="0" w:space="0" w:color="auto"/>
        <w:left w:val="none" w:sz="0" w:space="0" w:color="auto"/>
        <w:bottom w:val="none" w:sz="0" w:space="0" w:color="auto"/>
        <w:right w:val="none" w:sz="0" w:space="0" w:color="auto"/>
      </w:divBdr>
    </w:div>
    <w:div w:id="1451164877">
      <w:bodyDiv w:val="1"/>
      <w:marLeft w:val="0"/>
      <w:marRight w:val="0"/>
      <w:marTop w:val="0"/>
      <w:marBottom w:val="0"/>
      <w:divBdr>
        <w:top w:val="none" w:sz="0" w:space="0" w:color="auto"/>
        <w:left w:val="none" w:sz="0" w:space="0" w:color="auto"/>
        <w:bottom w:val="none" w:sz="0" w:space="0" w:color="auto"/>
        <w:right w:val="none" w:sz="0" w:space="0" w:color="auto"/>
      </w:divBdr>
    </w:div>
    <w:div w:id="1457213787">
      <w:bodyDiv w:val="1"/>
      <w:marLeft w:val="0"/>
      <w:marRight w:val="0"/>
      <w:marTop w:val="0"/>
      <w:marBottom w:val="0"/>
      <w:divBdr>
        <w:top w:val="none" w:sz="0" w:space="0" w:color="auto"/>
        <w:left w:val="none" w:sz="0" w:space="0" w:color="auto"/>
        <w:bottom w:val="none" w:sz="0" w:space="0" w:color="auto"/>
        <w:right w:val="none" w:sz="0" w:space="0" w:color="auto"/>
      </w:divBdr>
    </w:div>
    <w:div w:id="1561087133">
      <w:bodyDiv w:val="1"/>
      <w:marLeft w:val="0"/>
      <w:marRight w:val="0"/>
      <w:marTop w:val="0"/>
      <w:marBottom w:val="0"/>
      <w:divBdr>
        <w:top w:val="none" w:sz="0" w:space="0" w:color="auto"/>
        <w:left w:val="none" w:sz="0" w:space="0" w:color="auto"/>
        <w:bottom w:val="none" w:sz="0" w:space="0" w:color="auto"/>
        <w:right w:val="none" w:sz="0" w:space="0" w:color="auto"/>
      </w:divBdr>
    </w:div>
    <w:div w:id="1607809783">
      <w:bodyDiv w:val="1"/>
      <w:marLeft w:val="0"/>
      <w:marRight w:val="0"/>
      <w:marTop w:val="0"/>
      <w:marBottom w:val="0"/>
      <w:divBdr>
        <w:top w:val="none" w:sz="0" w:space="0" w:color="auto"/>
        <w:left w:val="none" w:sz="0" w:space="0" w:color="auto"/>
        <w:bottom w:val="none" w:sz="0" w:space="0" w:color="auto"/>
        <w:right w:val="none" w:sz="0" w:space="0" w:color="auto"/>
      </w:divBdr>
    </w:div>
    <w:div w:id="1664236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G:\Clients\SECCo\05%20-%20Modifications\Templates\01%20-%20Documents\04%20-%20Opine%20Stage%20documents\02%20-%20Conclusions%20Report\Conclusions%20Repor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20BAF7-14DA-42A1-AC5F-195C114B9F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Conclusions Report Template.dotx</Template>
  <TotalTime>20</TotalTime>
  <Pages>3</Pages>
  <Words>594</Words>
  <Characters>3390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MP106 Conclusions Report</vt:lpstr>
    </vt:vector>
  </TitlesOfParts>
  <Company>SECAS</Company>
  <LinksUpToDate>false</LinksUpToDate>
  <CharactersWithSpaces>3977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MP106 Conclusions Report</dc:title>
  <dc:subject/>
  <dc:creator>Bradley Baker</dc:creator>
  <cp:keywords/>
  <dc:description/>
  <cp:lastModifiedBy>Bradley Baker</cp:lastModifiedBy>
  <cp:revision>6</cp:revision>
  <cp:lastPrinted>2018-06-08T10:24:00Z</cp:lastPrinted>
  <dcterms:created xsi:type="dcterms:W3CDTF">2021-01-20T11:44:00Z</dcterms:created>
  <dcterms:modified xsi:type="dcterms:W3CDTF">2021-01-20T15:26:00Z</dcterms:modified>
</cp:coreProperties>
</file>