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73" w:rsidRPr="00DA3671" w:rsidRDefault="00763073" w:rsidP="00763073">
      <w:pPr>
        <w:pStyle w:val="Title"/>
        <w:spacing w:line="240" w:lineRule="auto"/>
        <w:rPr>
          <w:b/>
          <w:sz w:val="48"/>
          <w:szCs w:val="48"/>
        </w:rPr>
      </w:pPr>
      <w:bookmarkStart w:id="0" w:name="_Toc321376988"/>
      <w:bookmarkStart w:id="1" w:name="_Toc315353871"/>
      <w:bookmarkStart w:id="2" w:name="_Toc315871457"/>
      <w:bookmarkStart w:id="3" w:name="_Toc319481193"/>
      <w:bookmarkStart w:id="4" w:name="_Toc319482309"/>
      <w:bookmarkStart w:id="5" w:name="_Toc319483055"/>
      <w:bookmarkStart w:id="6" w:name="_Toc319491917"/>
      <w:bookmarkStart w:id="7" w:name="_Toc319492101"/>
      <w:bookmarkStart w:id="8" w:name="_Toc319675983"/>
      <w:bookmarkStart w:id="9" w:name="_Toc319690656"/>
      <w:bookmarkStart w:id="10" w:name="_Toc319911600"/>
      <w:bookmarkStart w:id="11" w:name="_Toc319912134"/>
      <w:bookmarkStart w:id="12" w:name="_Toc319912208"/>
      <w:bookmarkStart w:id="13" w:name="_Toc319940524"/>
      <w:bookmarkStart w:id="14" w:name="_Toc319940798"/>
      <w:bookmarkStart w:id="15" w:name="_Toc320180033"/>
      <w:bookmarkStart w:id="16" w:name="_Toc320222955"/>
      <w:bookmarkStart w:id="17" w:name="_Toc320223087"/>
      <w:bookmarkStart w:id="18" w:name="_Toc320261872"/>
      <w:bookmarkStart w:id="19" w:name="_Toc320609661"/>
      <w:bookmarkStart w:id="20" w:name="_Toc320615881"/>
      <w:bookmarkStart w:id="21" w:name="_Toc320618877"/>
      <w:bookmarkStart w:id="22" w:name="_Toc320794787"/>
      <w:bookmarkStart w:id="23" w:name="_Toc320807465"/>
      <w:bookmarkStart w:id="24" w:name="_Toc320807874"/>
      <w:bookmarkStart w:id="25" w:name="_Toc320810956"/>
      <w:bookmarkStart w:id="26" w:name="_Toc320814324"/>
      <w:bookmarkStart w:id="27" w:name="_Toc321327732"/>
      <w:r w:rsidRPr="00DA3671">
        <w:rPr>
          <w:b/>
          <w:sz w:val="48"/>
          <w:szCs w:val="48"/>
        </w:rPr>
        <w:t>Smart Metering Implementation Programme</w:t>
      </w:r>
    </w:p>
    <w:p w:rsidR="00763073" w:rsidRPr="00DA3671" w:rsidRDefault="0062035D" w:rsidP="00763073">
      <w:pPr>
        <w:pStyle w:val="Title"/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Smart Meter Equipment Technical</w:t>
      </w:r>
      <w:r w:rsidR="00763073">
        <w:rPr>
          <w:b/>
          <w:sz w:val="48"/>
          <w:szCs w:val="48"/>
        </w:rPr>
        <w:t xml:space="preserve"> Specification</w:t>
      </w:r>
      <w:r>
        <w:rPr>
          <w:b/>
          <w:sz w:val="48"/>
          <w:szCs w:val="48"/>
        </w:rPr>
        <w:t>s</w:t>
      </w:r>
      <w:r w:rsidR="00763073">
        <w:rPr>
          <w:b/>
          <w:sz w:val="48"/>
          <w:szCs w:val="48"/>
        </w:rPr>
        <w:t xml:space="preserve"> </w:t>
      </w:r>
      <w:r w:rsidR="004142FD">
        <w:rPr>
          <w:b/>
          <w:sz w:val="48"/>
          <w:szCs w:val="48"/>
        </w:rPr>
        <w:t xml:space="preserve">2 </w:t>
      </w:r>
      <w:r w:rsidR="00763073">
        <w:rPr>
          <w:b/>
          <w:sz w:val="48"/>
          <w:szCs w:val="48"/>
        </w:rPr>
        <w:t>(</w:t>
      </w:r>
      <w:r>
        <w:rPr>
          <w:b/>
          <w:sz w:val="48"/>
          <w:szCs w:val="48"/>
        </w:rPr>
        <w:t>SMETS</w:t>
      </w:r>
      <w:r w:rsidR="004142FD">
        <w:rPr>
          <w:b/>
          <w:sz w:val="48"/>
          <w:szCs w:val="48"/>
        </w:rPr>
        <w:t>2</w:t>
      </w:r>
      <w:r w:rsidR="00763073">
        <w:rPr>
          <w:b/>
          <w:sz w:val="48"/>
          <w:szCs w:val="48"/>
        </w:rPr>
        <w:t>)</w:t>
      </w:r>
    </w:p>
    <w:p w:rsidR="00763073" w:rsidRDefault="00763073" w:rsidP="00763073"/>
    <w:p w:rsidR="00763073" w:rsidRDefault="00763073" w:rsidP="00763073"/>
    <w:p w:rsidR="00763073" w:rsidRDefault="00763073" w:rsidP="00763073"/>
    <w:p w:rsidR="00763073" w:rsidRDefault="00763073" w:rsidP="00763073"/>
    <w:p w:rsidR="00763073" w:rsidRDefault="00763073" w:rsidP="00763073"/>
    <w:p w:rsidR="00763073" w:rsidRDefault="00763073" w:rsidP="00763073"/>
    <w:p w:rsidR="00763073" w:rsidRDefault="00763073" w:rsidP="00763073"/>
    <w:p w:rsidR="00763073" w:rsidRDefault="00763073" w:rsidP="00763073"/>
    <w:p w:rsidR="00763073" w:rsidRDefault="00763073" w:rsidP="00763073"/>
    <w:p w:rsidR="00763073" w:rsidRDefault="00763073" w:rsidP="00763073"/>
    <w:p w:rsidR="00763073" w:rsidRPr="00E23262" w:rsidRDefault="00763073" w:rsidP="00763073"/>
    <w:p w:rsidR="00763073" w:rsidRDefault="00763073" w:rsidP="00763073"/>
    <w:p w:rsidR="00763073" w:rsidRDefault="00763073" w:rsidP="0076307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="00763073" w:rsidRDefault="00763073" w:rsidP="00763073"/>
    <w:p w:rsidR="00763073" w:rsidRDefault="00763073" w:rsidP="00763073"/>
    <w:p w:rsidR="00763073" w:rsidRDefault="00763073" w:rsidP="00763073"/>
    <w:p w:rsidR="00763073" w:rsidRDefault="00763073" w:rsidP="00763073"/>
    <w:p w:rsidR="00763073" w:rsidRDefault="00763073" w:rsidP="00763073"/>
    <w:p w:rsidR="00763073" w:rsidRDefault="00763073" w:rsidP="00763073">
      <w:pP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</w:pPr>
      <w: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 xml:space="preserve">Version </w:t>
      </w:r>
      <w:r w:rsidR="0062035D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3</w:t>
      </w:r>
      <w: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.</w:t>
      </w:r>
      <w:r w:rsidR="00AC5DAD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 xml:space="preserve">0 Draft </w:t>
      </w:r>
      <w:r w:rsidR="00D71CA5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5</w:t>
      </w:r>
      <w: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:  Release Note</w:t>
      </w:r>
    </w:p>
    <w:p w:rsidR="00763073" w:rsidRPr="00AD0A01" w:rsidRDefault="008C239A" w:rsidP="00763073">
      <w:pP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</w:pPr>
      <w: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1</w:t>
      </w:r>
      <w:r w:rsidR="007704A4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4</w:t>
      </w:r>
      <w:r w:rsidR="00BC13D3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 xml:space="preserve"> </w:t>
      </w:r>
      <w:r w:rsidR="00D637A1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 xml:space="preserve">December </w:t>
      </w:r>
      <w:r w:rsidR="00AC5DAD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2017</w:t>
      </w:r>
    </w:p>
    <w:p w:rsidR="00763073" w:rsidRDefault="00763073" w:rsidP="00763073">
      <w:pPr>
        <w:pStyle w:val="Heading1nonum"/>
        <w:pageBreakBefore w:val="0"/>
        <w:suppressLineNumbers/>
        <w:sectPr w:rsidR="00763073" w:rsidSect="00CD54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63073" w:rsidRDefault="00763073" w:rsidP="00763073">
      <w:pPr>
        <w:pStyle w:val="HeadNoTOC"/>
      </w:pPr>
      <w:bookmarkStart w:id="28" w:name="OLE_LINK5"/>
      <w:bookmarkStart w:id="29" w:name="OLE_LINK6"/>
      <w:r>
        <w:lastRenderedPageBreak/>
        <w:t>Release Note</w:t>
      </w:r>
    </w:p>
    <w:p w:rsidR="00763073" w:rsidRDefault="00763073" w:rsidP="00763073">
      <w:r w:rsidRPr="006E6303">
        <w:t>This release note accompanies, but does not form part of</w:t>
      </w:r>
      <w:r>
        <w:t xml:space="preserve"> </w:t>
      </w:r>
      <w:r w:rsidR="0062035D" w:rsidRPr="00BD1788">
        <w:t>SMETS</w:t>
      </w:r>
      <w:r w:rsidR="004142FD">
        <w:t>2</w:t>
      </w:r>
      <w:r w:rsidRPr="00BD1788">
        <w:t xml:space="preserve"> </w:t>
      </w:r>
      <w:r w:rsidR="00BD1788" w:rsidRPr="00BD1788">
        <w:t>3.</w:t>
      </w:r>
      <w:r w:rsidR="00BD1788">
        <w:t xml:space="preserve">0 Draft </w:t>
      </w:r>
      <w:r w:rsidR="00D71CA5">
        <w:t>5</w:t>
      </w:r>
      <w:r>
        <w:t>.</w:t>
      </w:r>
      <w:r w:rsidRPr="006E6303">
        <w:t xml:space="preserve"> </w:t>
      </w:r>
      <w:r>
        <w:t xml:space="preserve"> </w:t>
      </w:r>
      <w:r w:rsidRPr="006E6303">
        <w:t>It describes the principal changes and u</w:t>
      </w:r>
      <w:r w:rsidR="0062035D">
        <w:t>pdates to SMETS</w:t>
      </w:r>
      <w:r w:rsidR="004142FD">
        <w:t>2</w:t>
      </w:r>
      <w:r>
        <w:t xml:space="preserve"> </w:t>
      </w:r>
      <w:r w:rsidR="000117F9">
        <w:t>V</w:t>
      </w:r>
      <w:r w:rsidR="00754869">
        <w:t>2</w:t>
      </w:r>
      <w:r>
        <w:t>.0</w:t>
      </w:r>
      <w:r w:rsidR="008E3271">
        <w:t>.</w:t>
      </w:r>
      <w:r w:rsidRPr="006E6303" w:rsidDel="004C0349">
        <w:t xml:space="preserve"> </w:t>
      </w:r>
    </w:p>
    <w:p w:rsidR="00763073" w:rsidRPr="00371A9F" w:rsidRDefault="00763073" w:rsidP="00763073">
      <w:pPr>
        <w:keepNext/>
        <w:keepLines/>
        <w:suppressLineNumbers/>
        <w:outlineLvl w:val="3"/>
        <w:rPr>
          <w:rFonts w:ascii="Arial Bold" w:eastAsia="Times New Roman" w:hAnsi="Arial Bold"/>
          <w:b/>
          <w:bCs/>
          <w:i/>
          <w:iCs/>
          <w:noProof/>
          <w:color w:val="009EE3"/>
        </w:rPr>
      </w:pPr>
      <w:r w:rsidRPr="00371A9F">
        <w:rPr>
          <w:rFonts w:ascii="Arial Bold" w:eastAsia="Times New Roman" w:hAnsi="Arial Bold"/>
          <w:b/>
          <w:bCs/>
          <w:i/>
          <w:iCs/>
          <w:noProof/>
          <w:color w:val="009EE3"/>
        </w:rPr>
        <w:t>Summary of main changes</w:t>
      </w:r>
    </w:p>
    <w:p w:rsidR="00763073" w:rsidRDefault="00763073" w:rsidP="00763073">
      <w:pPr>
        <w:suppressLineNumbers/>
        <w:rPr>
          <w:rFonts w:eastAsia="Calibri"/>
        </w:rPr>
      </w:pPr>
      <w:r>
        <w:rPr>
          <w:rFonts w:eastAsia="Calibri"/>
        </w:rPr>
        <w:t>T</w:t>
      </w:r>
      <w:r w:rsidRPr="00371A9F">
        <w:rPr>
          <w:rFonts w:eastAsia="Calibri"/>
        </w:rPr>
        <w:t>h</w:t>
      </w:r>
      <w:r>
        <w:rPr>
          <w:rFonts w:eastAsia="Calibri"/>
        </w:rPr>
        <w:t xml:space="preserve">e </w:t>
      </w:r>
      <w:r w:rsidR="00B056F7">
        <w:rPr>
          <w:rFonts w:eastAsia="Calibri"/>
        </w:rPr>
        <w:t xml:space="preserve">sections </w:t>
      </w:r>
      <w:r w:rsidR="004F71A4">
        <w:rPr>
          <w:rFonts w:eastAsia="Calibri"/>
        </w:rPr>
        <w:t xml:space="preserve">of </w:t>
      </w:r>
      <w:r w:rsidR="000117F9">
        <w:rPr>
          <w:rFonts w:eastAsia="Calibri"/>
        </w:rPr>
        <w:t xml:space="preserve">SMETS </w:t>
      </w:r>
      <w:r>
        <w:rPr>
          <w:rFonts w:eastAsia="Calibri"/>
        </w:rPr>
        <w:t xml:space="preserve">listed below </w:t>
      </w:r>
      <w:r w:rsidRPr="00371A9F">
        <w:rPr>
          <w:rFonts w:eastAsia="Calibri"/>
        </w:rPr>
        <w:t xml:space="preserve">incorporate </w:t>
      </w:r>
      <w:r w:rsidR="000117F9">
        <w:rPr>
          <w:rFonts w:eastAsia="Calibri"/>
        </w:rPr>
        <w:t xml:space="preserve">the </w:t>
      </w:r>
      <w:r w:rsidR="004F71A4">
        <w:rPr>
          <w:rFonts w:eastAsia="Calibri"/>
        </w:rPr>
        <w:t>princip</w:t>
      </w:r>
      <w:r w:rsidR="00A42B92">
        <w:rPr>
          <w:rFonts w:eastAsia="Calibri"/>
        </w:rPr>
        <w:t>a</w:t>
      </w:r>
      <w:r w:rsidR="004F71A4">
        <w:rPr>
          <w:rFonts w:eastAsia="Calibri"/>
        </w:rPr>
        <w:t>l</w:t>
      </w:r>
      <w:r w:rsidR="004F71A4" w:rsidRPr="00371A9F">
        <w:rPr>
          <w:rFonts w:eastAsia="Calibri"/>
        </w:rPr>
        <w:t xml:space="preserve"> </w:t>
      </w:r>
      <w:r w:rsidRPr="00371A9F">
        <w:rPr>
          <w:rFonts w:eastAsia="Calibri"/>
        </w:rPr>
        <w:t>cha</w:t>
      </w:r>
      <w:r>
        <w:rPr>
          <w:rFonts w:eastAsia="Calibri"/>
        </w:rPr>
        <w:t xml:space="preserve">nges and updates </w:t>
      </w:r>
      <w:r w:rsidR="004F71A4">
        <w:rPr>
          <w:rFonts w:eastAsia="Calibri"/>
        </w:rPr>
        <w:t xml:space="preserve">made </w:t>
      </w:r>
      <w:r>
        <w:rPr>
          <w:rFonts w:eastAsia="Calibri"/>
        </w:rPr>
        <w:t xml:space="preserve">to </w:t>
      </w:r>
      <w:r w:rsidR="0062035D">
        <w:rPr>
          <w:rFonts w:eastAsia="Calibri"/>
        </w:rPr>
        <w:t>SMETS</w:t>
      </w:r>
      <w:r w:rsidR="004142FD">
        <w:rPr>
          <w:rFonts w:eastAsia="Calibri"/>
        </w:rPr>
        <w:t>2</w:t>
      </w:r>
      <w:r>
        <w:rPr>
          <w:rFonts w:eastAsia="Calibri"/>
        </w:rPr>
        <w:t xml:space="preserve"> </w:t>
      </w:r>
      <w:r w:rsidR="000117F9">
        <w:rPr>
          <w:rFonts w:eastAsia="Calibri"/>
        </w:rPr>
        <w:t>V</w:t>
      </w:r>
      <w:r w:rsidR="004F71A4">
        <w:rPr>
          <w:rFonts w:eastAsia="Calibri"/>
        </w:rPr>
        <w:t>2</w:t>
      </w:r>
      <w:r>
        <w:rPr>
          <w:rFonts w:eastAsia="Calibri"/>
        </w:rPr>
        <w:t>.0</w:t>
      </w:r>
      <w:r w:rsidR="000117F9">
        <w:rPr>
          <w:rFonts w:eastAsia="Calibri"/>
        </w:rPr>
        <w:t xml:space="preserve"> </w:t>
      </w:r>
      <w:r>
        <w:rPr>
          <w:rFonts w:eastAsia="Calibri"/>
        </w:rPr>
        <w:t xml:space="preserve">that have been adopted through a number of </w:t>
      </w:r>
      <w:r w:rsidR="00B056F7">
        <w:rPr>
          <w:rFonts w:eastAsia="Calibri"/>
        </w:rPr>
        <w:t xml:space="preserve">resolution proposals </w:t>
      </w:r>
      <w:r>
        <w:rPr>
          <w:rFonts w:eastAsia="Calibri"/>
        </w:rPr>
        <w:t xml:space="preserve">following the BEIS Technical Specifications Issues Management </w:t>
      </w:r>
      <w:r w:rsidR="00B056F7">
        <w:rPr>
          <w:rFonts w:eastAsia="Calibri"/>
        </w:rPr>
        <w:t>Process</w:t>
      </w:r>
      <w:r w:rsidR="000117F9">
        <w:rPr>
          <w:rStyle w:val="FootnoteReference"/>
          <w:rFonts w:eastAsia="Calibri"/>
        </w:rPr>
        <w:footnoteReference w:id="1"/>
      </w:r>
      <w:r>
        <w:rPr>
          <w:rFonts w:eastAsia="Calibri"/>
        </w:rPr>
        <w:t>.</w:t>
      </w:r>
    </w:p>
    <w:p w:rsidR="00763073" w:rsidRPr="00371A9F" w:rsidRDefault="00763073" w:rsidP="00763073">
      <w:pPr>
        <w:keepNext/>
        <w:keepLines/>
        <w:suppressLineNumbers/>
        <w:outlineLvl w:val="3"/>
        <w:rPr>
          <w:rFonts w:ascii="Arial Bold" w:eastAsia="Times New Roman" w:hAnsi="Arial Bold"/>
          <w:b/>
          <w:bCs/>
          <w:i/>
          <w:iCs/>
          <w:noProof/>
          <w:color w:val="009EE3"/>
        </w:rPr>
      </w:pPr>
      <w:r>
        <w:rPr>
          <w:rFonts w:ascii="Arial Bold" w:eastAsia="Times New Roman" w:hAnsi="Arial Bold"/>
          <w:b/>
          <w:bCs/>
          <w:i/>
          <w:iCs/>
          <w:noProof/>
          <w:color w:val="009EE3"/>
        </w:rPr>
        <w:t>Table of Section Changes</w:t>
      </w:r>
    </w:p>
    <w:p w:rsidR="00763073" w:rsidRPr="00371A9F" w:rsidRDefault="00D71CA5" w:rsidP="00763073">
      <w:r w:rsidRPr="00D71CA5">
        <w:t xml:space="preserve">The table below shows the Sections that have been updated in this version, as </w:t>
      </w:r>
      <w:r>
        <w:t>well as a summary of the change</w:t>
      </w:r>
      <w:r w:rsidR="00763073" w:rsidRPr="00371A9F">
        <w:t>:</w:t>
      </w:r>
    </w:p>
    <w:tbl>
      <w:tblPr>
        <w:tblStyle w:val="TableGrid"/>
        <w:tblW w:w="0" w:type="auto"/>
        <w:tblInd w:w="108" w:type="dxa"/>
        <w:tblBorders>
          <w:top w:val="single" w:sz="4" w:space="0" w:color="009EE3"/>
          <w:left w:val="single" w:sz="4" w:space="0" w:color="009EE3"/>
          <w:bottom w:val="single" w:sz="4" w:space="0" w:color="009EE3"/>
          <w:right w:val="single" w:sz="4" w:space="0" w:color="009EE3"/>
          <w:insideH w:val="single" w:sz="4" w:space="0" w:color="009EE3"/>
          <w:insideV w:val="single" w:sz="4" w:space="0" w:color="009EE3"/>
        </w:tblBorders>
        <w:tblLook w:val="04A0" w:firstRow="1" w:lastRow="0" w:firstColumn="1" w:lastColumn="0" w:noHBand="0" w:noVBand="1"/>
      </w:tblPr>
      <w:tblGrid>
        <w:gridCol w:w="2694"/>
        <w:gridCol w:w="6095"/>
      </w:tblGrid>
      <w:tr w:rsidR="00763073" w:rsidTr="00E52E08">
        <w:trPr>
          <w:tblHeader/>
        </w:trPr>
        <w:tc>
          <w:tcPr>
            <w:tcW w:w="2694" w:type="dxa"/>
            <w:tcBorders>
              <w:top w:val="nil"/>
              <w:left w:val="single" w:sz="4" w:space="0" w:color="009EE3"/>
              <w:bottom w:val="nil"/>
              <w:right w:val="single" w:sz="4" w:space="0" w:color="FFFFFF" w:themeColor="background1"/>
            </w:tcBorders>
            <w:shd w:val="clear" w:color="auto" w:fill="009EE3"/>
          </w:tcPr>
          <w:p w:rsidR="00763073" w:rsidRPr="00872E38" w:rsidRDefault="00763073" w:rsidP="0069725C">
            <w:pPr>
              <w:pStyle w:val="Tabletext"/>
              <w:rPr>
                <w:b/>
                <w:color w:val="FFFFFF" w:themeColor="background1"/>
                <w:lang w:eastAsia="en-GB"/>
              </w:rPr>
            </w:pPr>
            <w:r w:rsidRPr="00872E38">
              <w:rPr>
                <w:b/>
                <w:color w:val="FFFFFF" w:themeColor="background1"/>
                <w:lang w:eastAsia="en-GB"/>
              </w:rPr>
              <w:t>Section</w:t>
            </w:r>
          </w:p>
        </w:tc>
        <w:tc>
          <w:tcPr>
            <w:tcW w:w="609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EE3"/>
          </w:tcPr>
          <w:p w:rsidR="00763073" w:rsidRPr="00872E38" w:rsidRDefault="00763073" w:rsidP="0069725C">
            <w:pPr>
              <w:pStyle w:val="Tabletext"/>
              <w:rPr>
                <w:b/>
                <w:color w:val="FFFFFF" w:themeColor="background1"/>
                <w:lang w:eastAsia="en-GB"/>
              </w:rPr>
            </w:pPr>
            <w:r w:rsidRPr="00872E38">
              <w:rPr>
                <w:b/>
                <w:color w:val="FFFFFF" w:themeColor="background1"/>
                <w:lang w:eastAsia="en-GB"/>
              </w:rPr>
              <w:t>Changes</w:t>
            </w:r>
          </w:p>
        </w:tc>
      </w:tr>
      <w:tr w:rsidR="00763073" w:rsidTr="00E52E08">
        <w:tc>
          <w:tcPr>
            <w:tcW w:w="2694" w:type="dxa"/>
            <w:tcBorders>
              <w:top w:val="nil"/>
            </w:tcBorders>
          </w:tcPr>
          <w:p w:rsidR="00763073" w:rsidRDefault="001A0D6D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Various</w:t>
            </w:r>
          </w:p>
        </w:tc>
        <w:tc>
          <w:tcPr>
            <w:tcW w:w="6095" w:type="dxa"/>
            <w:tcBorders>
              <w:top w:val="nil"/>
            </w:tcBorders>
          </w:tcPr>
          <w:p w:rsidR="003D4321" w:rsidRDefault="003D4321" w:rsidP="003D4321">
            <w:pPr>
              <w:pStyle w:val="Tabletext"/>
            </w:pPr>
            <w:r w:rsidRPr="00F47DD6">
              <w:t>There are a number of amendment</w:t>
            </w:r>
            <w:r>
              <w:t>s</w:t>
            </w:r>
            <w:r w:rsidRPr="00F47DD6">
              <w:t xml:space="preserve"> </w:t>
            </w:r>
            <w:r>
              <w:t>in the following categories:</w:t>
            </w:r>
          </w:p>
          <w:p w:rsidR="003D4321" w:rsidRDefault="003D4321" w:rsidP="003D4321">
            <w:pPr>
              <w:pStyle w:val="Tabletext"/>
              <w:numPr>
                <w:ilvl w:val="0"/>
                <w:numId w:val="9"/>
              </w:numPr>
            </w:pPr>
            <w:r>
              <w:t>changes to improve clarity of drafting;</w:t>
            </w:r>
          </w:p>
          <w:p w:rsidR="00C21647" w:rsidRDefault="003D4321" w:rsidP="003D4321">
            <w:pPr>
              <w:pStyle w:val="Tabletext"/>
              <w:numPr>
                <w:ilvl w:val="0"/>
                <w:numId w:val="9"/>
              </w:numPr>
            </w:pPr>
            <w:r>
              <w:t>changes to improve the consistent use of the Glossary Terms;</w:t>
            </w:r>
          </w:p>
          <w:p w:rsidR="003D4321" w:rsidRDefault="00C21647" w:rsidP="00C21647">
            <w:pPr>
              <w:pStyle w:val="Tabletext"/>
              <w:numPr>
                <w:ilvl w:val="0"/>
                <w:numId w:val="9"/>
              </w:numPr>
            </w:pPr>
            <w:r>
              <w:t>replacing ‘</w:t>
            </w:r>
            <w:proofErr w:type="spellStart"/>
            <w:r>
              <w:t>CESG</w:t>
            </w:r>
            <w:proofErr w:type="spellEnd"/>
            <w:r>
              <w:t xml:space="preserve">’ with ‘NCSC’ as the correct name now of the </w:t>
            </w:r>
            <w:r w:rsidRPr="00FC28C4">
              <w:t>UK Government's national technical authority for information assurance</w:t>
            </w:r>
            <w:r>
              <w:t>;</w:t>
            </w:r>
            <w:r w:rsidR="003D4321">
              <w:t xml:space="preserve"> and</w:t>
            </w:r>
          </w:p>
          <w:p w:rsidR="003D4321" w:rsidRDefault="003D4321" w:rsidP="003D4321">
            <w:pPr>
              <w:pStyle w:val="Tabletext"/>
              <w:numPr>
                <w:ilvl w:val="0"/>
                <w:numId w:val="9"/>
              </w:numPr>
            </w:pPr>
            <w:proofErr w:type="gramStart"/>
            <w:r>
              <w:t>grammatical</w:t>
            </w:r>
            <w:proofErr w:type="gramEnd"/>
            <w:r>
              <w:t xml:space="preserve"> and typographical corrections identified since the last published version.</w:t>
            </w:r>
          </w:p>
          <w:p w:rsidR="00763073" w:rsidRDefault="003D4321" w:rsidP="003D4321">
            <w:pPr>
              <w:pStyle w:val="Tabletext"/>
            </w:pPr>
            <w:r>
              <w:t xml:space="preserve">Such amendments have been made to a number of </w:t>
            </w:r>
            <w:r w:rsidR="00B056F7">
              <w:t xml:space="preserve">sections </w:t>
            </w:r>
            <w:r>
              <w:t xml:space="preserve">and are not </w:t>
            </w:r>
            <w:r w:rsidR="005D76C3">
              <w:t xml:space="preserve">necessarily </w:t>
            </w:r>
            <w:r>
              <w:t xml:space="preserve">detailed further in this </w:t>
            </w:r>
            <w:r w:rsidR="00B056F7">
              <w:t>table</w:t>
            </w:r>
            <w:r w:rsidR="001A0D6D">
              <w:t>.</w:t>
            </w:r>
          </w:p>
          <w:p w:rsidR="001A0D6D" w:rsidRDefault="00C21647" w:rsidP="00C21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also c</w:t>
            </w:r>
            <w:r w:rsidR="001A0D6D">
              <w:rPr>
                <w:sz w:val="20"/>
                <w:szCs w:val="20"/>
              </w:rPr>
              <w:t xml:space="preserve">hanges across </w:t>
            </w:r>
            <w:r>
              <w:rPr>
                <w:sz w:val="20"/>
                <w:szCs w:val="20"/>
              </w:rPr>
              <w:t>S</w:t>
            </w:r>
            <w:r w:rsidR="00B056F7">
              <w:rPr>
                <w:sz w:val="20"/>
                <w:szCs w:val="20"/>
              </w:rPr>
              <w:t xml:space="preserve">ections </w:t>
            </w:r>
            <w:r w:rsidR="001A0D6D">
              <w:rPr>
                <w:sz w:val="20"/>
                <w:szCs w:val="20"/>
              </w:rPr>
              <w:t>with t</w:t>
            </w:r>
            <w:r w:rsidR="001A0D6D" w:rsidRPr="00DD024E">
              <w:rPr>
                <w:sz w:val="20"/>
                <w:szCs w:val="20"/>
              </w:rPr>
              <w:t xml:space="preserve">he addition of functionality to allow for operation of GSME, </w:t>
            </w:r>
            <w:proofErr w:type="spellStart"/>
            <w:r w:rsidR="001A0D6D" w:rsidRPr="00DD024E">
              <w:rPr>
                <w:sz w:val="20"/>
                <w:szCs w:val="20"/>
              </w:rPr>
              <w:t>IHDs</w:t>
            </w:r>
            <w:proofErr w:type="spellEnd"/>
            <w:r w:rsidR="001A0D6D" w:rsidRPr="00DD024E">
              <w:rPr>
                <w:sz w:val="20"/>
                <w:szCs w:val="20"/>
              </w:rPr>
              <w:t xml:space="preserve">, </w:t>
            </w:r>
            <w:proofErr w:type="spellStart"/>
            <w:r w:rsidR="001A0D6D" w:rsidRPr="00DD024E">
              <w:rPr>
                <w:sz w:val="20"/>
                <w:szCs w:val="20"/>
              </w:rPr>
              <w:t>PPMIDs</w:t>
            </w:r>
            <w:proofErr w:type="spellEnd"/>
            <w:r w:rsidR="00B056F7">
              <w:rPr>
                <w:sz w:val="20"/>
                <w:szCs w:val="20"/>
              </w:rPr>
              <w:t>,</w:t>
            </w:r>
            <w:r w:rsidR="001A0D6D" w:rsidRPr="00DD024E">
              <w:rPr>
                <w:sz w:val="20"/>
                <w:szCs w:val="20"/>
              </w:rPr>
              <w:t xml:space="preserve"> </w:t>
            </w:r>
            <w:proofErr w:type="spellStart"/>
            <w:r w:rsidR="00B056F7">
              <w:rPr>
                <w:sz w:val="20"/>
                <w:szCs w:val="20"/>
              </w:rPr>
              <w:t>HCALCS</w:t>
            </w:r>
            <w:proofErr w:type="spellEnd"/>
            <w:r w:rsidR="00B056F7" w:rsidRPr="00DD024E">
              <w:rPr>
                <w:sz w:val="20"/>
                <w:szCs w:val="20"/>
              </w:rPr>
              <w:t xml:space="preserve"> </w:t>
            </w:r>
            <w:r w:rsidR="00B056F7">
              <w:rPr>
                <w:sz w:val="20"/>
                <w:szCs w:val="20"/>
              </w:rPr>
              <w:t xml:space="preserve">and Communications </w:t>
            </w:r>
            <w:r w:rsidR="001A0D6D" w:rsidRPr="00DD024E">
              <w:rPr>
                <w:sz w:val="20"/>
                <w:szCs w:val="20"/>
              </w:rPr>
              <w:t>Hubs in Sub GHz Bands</w:t>
            </w:r>
          </w:p>
          <w:p w:rsidR="004142FD" w:rsidRPr="00DD024E" w:rsidRDefault="004142FD" w:rsidP="004142FD">
            <w:pPr>
              <w:rPr>
                <w:sz w:val="20"/>
                <w:szCs w:val="20"/>
              </w:rPr>
            </w:pPr>
            <w:r w:rsidRPr="004142FD">
              <w:rPr>
                <w:sz w:val="20"/>
                <w:szCs w:val="20"/>
              </w:rPr>
              <w:t xml:space="preserve">The title page </w:t>
            </w:r>
            <w:r>
              <w:rPr>
                <w:sz w:val="20"/>
                <w:szCs w:val="20"/>
              </w:rPr>
              <w:t>changed</w:t>
            </w:r>
            <w:r w:rsidRPr="004142FD">
              <w:rPr>
                <w:sz w:val="20"/>
                <w:szCs w:val="20"/>
              </w:rPr>
              <w:t xml:space="preserve"> to “Smart Metering Equipment Technical Specifications 2 (SMETS2)”, with the Version remaining as: ‘V2.0 Draft 5’</w:t>
            </w:r>
          </w:p>
        </w:tc>
      </w:tr>
      <w:tr w:rsidR="00493DE7" w:rsidTr="00E52E08">
        <w:tc>
          <w:tcPr>
            <w:tcW w:w="2694" w:type="dxa"/>
          </w:tcPr>
          <w:p w:rsidR="00493DE7" w:rsidRPr="00D45A91" w:rsidRDefault="00493DE7" w:rsidP="00466B5A">
            <w:pPr>
              <w:pStyle w:val="Tabletext"/>
              <w:rPr>
                <w:lang w:eastAsia="en-GB"/>
              </w:rPr>
            </w:pPr>
            <w:r w:rsidRPr="00D45A91">
              <w:rPr>
                <w:lang w:eastAsia="en-GB"/>
              </w:rPr>
              <w:t>3, 4.1, 5.1, 5.6.3.21, 6.1, 7.1, 8.1, 8.3 and 8.5</w:t>
            </w:r>
          </w:p>
        </w:tc>
        <w:tc>
          <w:tcPr>
            <w:tcW w:w="6095" w:type="dxa"/>
          </w:tcPr>
          <w:p w:rsidR="004142FD" w:rsidRPr="004207AC" w:rsidRDefault="00493DE7" w:rsidP="00466B5A">
            <w:pPr>
              <w:pStyle w:val="Tabletext"/>
            </w:pPr>
            <w:r>
              <w:t>Addressing i</w:t>
            </w:r>
            <w:r w:rsidRPr="00824893">
              <w:t xml:space="preserve">nconsistent referencing of Licence conditions.  There </w:t>
            </w:r>
            <w:r>
              <w:t xml:space="preserve">have been </w:t>
            </w:r>
            <w:r w:rsidRPr="00824893">
              <w:t>no changes to the conditions themselves, this is purely to ensure consistency in the Sections referencing the Licence between the various Specifications within SMETS</w:t>
            </w:r>
            <w:r>
              <w:t>, as shown by the list of affected Sections left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3.0</w:t>
            </w:r>
          </w:p>
        </w:tc>
        <w:tc>
          <w:tcPr>
            <w:tcW w:w="6095" w:type="dxa"/>
          </w:tcPr>
          <w:p w:rsidR="00493DE7" w:rsidRDefault="00493DE7" w:rsidP="00633BDA">
            <w:pPr>
              <w:pStyle w:val="Tabletext"/>
            </w:pPr>
            <w:r>
              <w:t>Section changes as follows:</w:t>
            </w:r>
          </w:p>
          <w:p w:rsidR="004142FD" w:rsidRDefault="004142FD" w:rsidP="00633BDA">
            <w:pPr>
              <w:pStyle w:val="Tabletext"/>
              <w:numPr>
                <w:ilvl w:val="0"/>
                <w:numId w:val="22"/>
              </w:numPr>
            </w:pPr>
            <w:r>
              <w:t>A</w:t>
            </w:r>
            <w:r w:rsidRPr="004142FD">
              <w:t xml:space="preserve"> addition </w:t>
            </w:r>
            <w:r>
              <w:t xml:space="preserve">of an </w:t>
            </w:r>
            <w:r w:rsidRPr="004142FD">
              <w:t>explanatory p</w:t>
            </w:r>
            <w:r>
              <w:t>aragraph on ‘version numbering’</w:t>
            </w:r>
          </w:p>
          <w:p w:rsidR="00493DE7" w:rsidRDefault="00493DE7" w:rsidP="00633BDA">
            <w:pPr>
              <w:pStyle w:val="Tabletext"/>
              <w:numPr>
                <w:ilvl w:val="0"/>
                <w:numId w:val="22"/>
              </w:numPr>
            </w:pPr>
            <w:r>
              <w:t>Update of footnote reference to the latest EU Notification under the Technical Standards and Regulations Directive (2015/1535/EU) of the European Parliament</w:t>
            </w:r>
          </w:p>
          <w:p w:rsidR="00493DE7" w:rsidRPr="004207AC" w:rsidRDefault="00493DE7" w:rsidP="00C21647">
            <w:pPr>
              <w:pStyle w:val="Tabletext"/>
              <w:numPr>
                <w:ilvl w:val="0"/>
                <w:numId w:val="22"/>
              </w:numPr>
            </w:pPr>
            <w:r>
              <w:t xml:space="preserve">Removed the sentence “This document has been brought into force by the Secretary of State on [    ] for the purposes of the relevant licence conditions”.  As this now duplicates SEC Schedule 11  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4.2.2</w:t>
            </w:r>
          </w:p>
        </w:tc>
        <w:tc>
          <w:tcPr>
            <w:tcW w:w="6095" w:type="dxa"/>
          </w:tcPr>
          <w:p w:rsidR="00493DE7" w:rsidRDefault="00493DE7" w:rsidP="00253B56">
            <w:pPr>
              <w:pStyle w:val="Tabletext"/>
            </w:pPr>
            <w:r w:rsidRPr="004207AC">
              <w:t xml:space="preserve">Amended text to change the date specifying whether features are certifiable by ZigBee has changed </w:t>
            </w:r>
            <w:r>
              <w:t xml:space="preserve">from February 2016 </w:t>
            </w:r>
            <w:r w:rsidRPr="004207AC">
              <w:t xml:space="preserve">to </w:t>
            </w:r>
            <w:r>
              <w:t>3</w:t>
            </w:r>
            <w:r w:rsidRPr="004207AC">
              <w:t xml:space="preserve">1 </w:t>
            </w:r>
            <w:r>
              <w:t>July</w:t>
            </w:r>
            <w:r w:rsidRPr="004207AC">
              <w:t xml:space="preserve"> 2017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4.3</w:t>
            </w:r>
          </w:p>
        </w:tc>
        <w:tc>
          <w:tcPr>
            <w:tcW w:w="6095" w:type="dxa"/>
          </w:tcPr>
          <w:p w:rsidR="00493DE7" w:rsidRDefault="00493DE7" w:rsidP="00E52E08">
            <w:pPr>
              <w:pStyle w:val="Tabletext"/>
            </w:pPr>
            <w:r>
              <w:t>Amended to make provision for Sub GHz Bands.</w:t>
            </w:r>
          </w:p>
          <w:p w:rsidR="00493DE7" w:rsidRDefault="00493DE7" w:rsidP="00E52E08">
            <w:pPr>
              <w:pStyle w:val="Tabletext"/>
            </w:pPr>
            <w:r>
              <w:rPr>
                <w:lang w:eastAsia="en-GB"/>
              </w:rPr>
              <w:lastRenderedPageBreak/>
              <w:t xml:space="preserve">Addition of a requirement to send an Alert when the Supply is Locked due to </w:t>
            </w:r>
            <w:r w:rsidRPr="00571983">
              <w:rPr>
                <w:lang w:eastAsia="en-GB"/>
              </w:rPr>
              <w:t xml:space="preserve">Unauthorised Physical Access through </w:t>
            </w:r>
            <w:r>
              <w:rPr>
                <w:lang w:eastAsia="en-GB"/>
              </w:rPr>
              <w:t>the</w:t>
            </w:r>
            <w:r w:rsidRPr="00571983">
              <w:rPr>
                <w:lang w:eastAsia="en-GB"/>
              </w:rPr>
              <w:t xml:space="preserve"> Secure Perimeter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4.4.2</w:t>
            </w:r>
          </w:p>
        </w:tc>
        <w:tc>
          <w:tcPr>
            <w:tcW w:w="6095" w:type="dxa"/>
          </w:tcPr>
          <w:p w:rsidR="00493DE7" w:rsidRDefault="00493DE7" w:rsidP="00416DAF">
            <w:pPr>
              <w:pStyle w:val="Tabletext"/>
            </w:pPr>
            <w:r>
              <w:rPr>
                <w:lang w:eastAsia="en-GB"/>
              </w:rPr>
              <w:t>Addition of requirements to support configuration of: logging events; sending Alerts; and sounding Alarms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4.4.2.1</w:t>
            </w:r>
          </w:p>
        </w:tc>
        <w:tc>
          <w:tcPr>
            <w:tcW w:w="6095" w:type="dxa"/>
          </w:tcPr>
          <w:p w:rsidR="00493DE7" w:rsidRDefault="00493DE7" w:rsidP="00416DAF">
            <w:pPr>
              <w:pStyle w:val="Tabletext"/>
            </w:pPr>
            <w:r>
              <w:rPr>
                <w:lang w:eastAsia="en-GB"/>
              </w:rPr>
              <w:t>Clarification added as to which Commands, from a PPMID, a GSME needs to be able to support</w:t>
            </w:r>
          </w:p>
        </w:tc>
      </w:tr>
      <w:tr w:rsidR="00493DE7" w:rsidTr="00E52E08">
        <w:tc>
          <w:tcPr>
            <w:tcW w:w="2694" w:type="dxa"/>
          </w:tcPr>
          <w:p w:rsidR="00493DE7" w:rsidRPr="00D45A91" w:rsidRDefault="00493DE7" w:rsidP="00466B5A">
            <w:pPr>
              <w:pStyle w:val="Tabletext"/>
              <w:rPr>
                <w:lang w:eastAsia="en-GB"/>
              </w:rPr>
            </w:pPr>
            <w:r w:rsidRPr="00D45A91">
              <w:rPr>
                <w:lang w:eastAsia="en-GB"/>
              </w:rPr>
              <w:t>4.4.5</w:t>
            </w:r>
          </w:p>
        </w:tc>
        <w:tc>
          <w:tcPr>
            <w:tcW w:w="6095" w:type="dxa"/>
          </w:tcPr>
          <w:p w:rsidR="00493DE7" w:rsidRDefault="00493DE7" w:rsidP="00466B5A">
            <w:pPr>
              <w:pStyle w:val="Tabletext"/>
            </w:pPr>
            <w:r w:rsidRPr="00550CD1">
              <w:t xml:space="preserve">Clarifying that the precision of </w:t>
            </w:r>
            <w:r>
              <w:t>the GSME</w:t>
            </w:r>
            <w:r w:rsidRPr="00550CD1">
              <w:t xml:space="preserve"> register value displayed does not have to be the same as that held internally in the data store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4.4.6.3</w:t>
            </w:r>
          </w:p>
        </w:tc>
        <w:tc>
          <w:tcPr>
            <w:tcW w:w="6095" w:type="dxa"/>
          </w:tcPr>
          <w:p w:rsidR="00493DE7" w:rsidRPr="004207AC" w:rsidRDefault="00493DE7" w:rsidP="00416DAF">
            <w:pPr>
              <w:pStyle w:val="Tabletext"/>
            </w:pPr>
            <w:r>
              <w:rPr>
                <w:lang w:eastAsia="en-GB"/>
              </w:rPr>
              <w:t>Addition of a requirement to monitor GSME Operational Integrity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4.4.7.2</w:t>
            </w:r>
          </w:p>
        </w:tc>
        <w:tc>
          <w:tcPr>
            <w:tcW w:w="6095" w:type="dxa"/>
          </w:tcPr>
          <w:p w:rsidR="00493DE7" w:rsidRDefault="00493DE7" w:rsidP="00416DAF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Clarifications and revisions to the requirements in relation to debt being recovered in Prepayment Mode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4.5.1</w:t>
            </w:r>
          </w:p>
        </w:tc>
        <w:tc>
          <w:tcPr>
            <w:tcW w:w="6095" w:type="dxa"/>
          </w:tcPr>
          <w:p w:rsidR="00493DE7" w:rsidRDefault="00493DE7" w:rsidP="00416DAF">
            <w:pPr>
              <w:pStyle w:val="Tabletext"/>
            </w:pPr>
            <w:r w:rsidRPr="004207AC">
              <w:t>Removed the requirement on the GSME to push its Constant Data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4.5.2.2 and 4.5.3.3</w:t>
            </w:r>
          </w:p>
        </w:tc>
        <w:tc>
          <w:tcPr>
            <w:tcW w:w="6095" w:type="dxa"/>
          </w:tcPr>
          <w:p w:rsidR="00493DE7" w:rsidRPr="004207AC" w:rsidRDefault="00493DE7" w:rsidP="00416DAF">
            <w:pPr>
              <w:pStyle w:val="Tabletext"/>
            </w:pPr>
            <w:r>
              <w:rPr>
                <w:lang w:eastAsia="en-GB"/>
              </w:rPr>
              <w:t>Correction of PTUT to UTRN to align to GBCS terminology</w:t>
            </w:r>
          </w:p>
        </w:tc>
      </w:tr>
      <w:tr w:rsidR="00493DE7" w:rsidDel="00FC0A6E" w:rsidTr="00E52E08">
        <w:tc>
          <w:tcPr>
            <w:tcW w:w="2694" w:type="dxa"/>
          </w:tcPr>
          <w:p w:rsidR="00493DE7" w:rsidDel="00FC0A6E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4.5.2.6</w:t>
            </w:r>
          </w:p>
        </w:tc>
        <w:tc>
          <w:tcPr>
            <w:tcW w:w="6095" w:type="dxa"/>
          </w:tcPr>
          <w:p w:rsidR="00493DE7" w:rsidDel="00FC0A6E" w:rsidRDefault="00493DE7" w:rsidP="00C74568">
            <w:pPr>
              <w:pStyle w:val="Tabletext"/>
              <w:rPr>
                <w:rFonts w:eastAsia="Times New Roman"/>
                <w:lang w:eastAsia="en-GB"/>
              </w:rPr>
            </w:pPr>
            <w:r>
              <w:rPr>
                <w:lang w:eastAsia="en-GB"/>
              </w:rPr>
              <w:t>Addition of a requirement to send an Alert when gas flow rate exceeds the Uncontrolled Gas Flow Rate</w:t>
            </w:r>
          </w:p>
        </w:tc>
      </w:tr>
      <w:tr w:rsidR="00493DE7" w:rsidDel="00FC0A6E" w:rsidTr="00E52E08">
        <w:tc>
          <w:tcPr>
            <w:tcW w:w="2694" w:type="dxa"/>
          </w:tcPr>
          <w:p w:rsidR="00493DE7" w:rsidDel="00FC0A6E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4.5.3.7</w:t>
            </w:r>
          </w:p>
        </w:tc>
        <w:tc>
          <w:tcPr>
            <w:tcW w:w="6095" w:type="dxa"/>
          </w:tcPr>
          <w:p w:rsidR="00493DE7" w:rsidDel="00FC0A6E" w:rsidRDefault="00493DE7" w:rsidP="00C74568">
            <w:pPr>
              <w:pStyle w:val="Tabletext"/>
              <w:rPr>
                <w:rFonts w:eastAsia="Times New Roman"/>
                <w:lang w:eastAsia="en-GB"/>
              </w:rPr>
            </w:pPr>
            <w:r>
              <w:rPr>
                <w:lang w:eastAsia="en-GB"/>
              </w:rPr>
              <w:t>Drafting changes to clarify the Arm Supply processing requirements</w:t>
            </w:r>
          </w:p>
        </w:tc>
      </w:tr>
      <w:tr w:rsidR="00493DE7" w:rsidDel="00FC0A6E" w:rsidTr="00E52E08">
        <w:tc>
          <w:tcPr>
            <w:tcW w:w="2694" w:type="dxa"/>
          </w:tcPr>
          <w:p w:rsidR="00493DE7" w:rsidDel="00FC0A6E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4.5.3.19</w:t>
            </w:r>
          </w:p>
        </w:tc>
        <w:tc>
          <w:tcPr>
            <w:tcW w:w="6095" w:type="dxa"/>
          </w:tcPr>
          <w:p w:rsidR="00493DE7" w:rsidDel="00FC0A6E" w:rsidRDefault="00493DE7" w:rsidP="00C74568">
            <w:pPr>
              <w:pStyle w:val="Tabletext"/>
              <w:rPr>
                <w:rFonts w:eastAsia="Times New Roman"/>
                <w:lang w:eastAsia="en-GB"/>
              </w:rPr>
            </w:pPr>
            <w:r>
              <w:rPr>
                <w:lang w:eastAsia="en-GB"/>
              </w:rPr>
              <w:t>Clarification that ‘Emergency Credit activated and used’ must be reset when the Meter Balance is reset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4.6.4.34</w:t>
            </w:r>
          </w:p>
        </w:tc>
        <w:tc>
          <w:tcPr>
            <w:tcW w:w="6095" w:type="dxa"/>
          </w:tcPr>
          <w:p w:rsidR="00493DE7" w:rsidRDefault="00493DE7" w:rsidP="00E52E08">
            <w:pPr>
              <w:pStyle w:val="Tabletext"/>
            </w:pPr>
            <w:r>
              <w:t>Addition of requirement to log events.</w:t>
            </w:r>
          </w:p>
          <w:p w:rsidR="00493DE7" w:rsidRDefault="00493DE7" w:rsidP="00E52E08">
            <w:pPr>
              <w:pStyle w:val="Tabletext"/>
              <w:rPr>
                <w:rFonts w:eastAsia="Times New Roman"/>
                <w:lang w:eastAsia="en-GB"/>
              </w:rPr>
            </w:pPr>
            <w:r>
              <w:rPr>
                <w:lang w:eastAsia="en-GB"/>
              </w:rPr>
              <w:t>New Section to support configuration of: logging events, sending Alerts and sounding Alarms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5.3.2</w:t>
            </w:r>
          </w:p>
        </w:tc>
        <w:tc>
          <w:tcPr>
            <w:tcW w:w="6095" w:type="dxa"/>
          </w:tcPr>
          <w:p w:rsidR="00493DE7" w:rsidRDefault="00493DE7" w:rsidP="00EE49C6">
            <w:pPr>
              <w:pStyle w:val="Tabletext"/>
            </w:pPr>
            <w:r>
              <w:t>Amended text to change the date specifying whether features are certifiable by ZigBee and DLMS has changed to 31 July 2017</w:t>
            </w:r>
          </w:p>
        </w:tc>
      </w:tr>
      <w:tr w:rsidR="00493DE7" w:rsidDel="00FC0A6E" w:rsidTr="00E52E08">
        <w:tc>
          <w:tcPr>
            <w:tcW w:w="2694" w:type="dxa"/>
          </w:tcPr>
          <w:p w:rsidR="00493DE7" w:rsidDel="00FC0A6E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5.4</w:t>
            </w:r>
          </w:p>
        </w:tc>
        <w:tc>
          <w:tcPr>
            <w:tcW w:w="6095" w:type="dxa"/>
          </w:tcPr>
          <w:p w:rsidR="00493DE7" w:rsidDel="00FC0A6E" w:rsidRDefault="00493DE7" w:rsidP="00C74568">
            <w:pPr>
              <w:pStyle w:val="Tabletext"/>
            </w:pPr>
            <w:r>
              <w:rPr>
                <w:lang w:eastAsia="en-GB"/>
              </w:rPr>
              <w:t xml:space="preserve">Addition of a requirement to generate and send an Alert when the Supply is Locked due to </w:t>
            </w:r>
            <w:r w:rsidRPr="00571983">
              <w:rPr>
                <w:lang w:eastAsia="en-GB"/>
              </w:rPr>
              <w:t xml:space="preserve">Unauthorised Physical Access through </w:t>
            </w:r>
            <w:r>
              <w:rPr>
                <w:lang w:eastAsia="en-GB"/>
              </w:rPr>
              <w:t>the</w:t>
            </w:r>
            <w:r w:rsidRPr="00571983">
              <w:rPr>
                <w:lang w:eastAsia="en-GB"/>
              </w:rPr>
              <w:t xml:space="preserve"> Secure Perimeter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5.5.2</w:t>
            </w:r>
          </w:p>
        </w:tc>
        <w:tc>
          <w:tcPr>
            <w:tcW w:w="6095" w:type="dxa"/>
          </w:tcPr>
          <w:p w:rsidR="00493DE7" w:rsidRDefault="00493DE7" w:rsidP="00E52E08">
            <w:pPr>
              <w:pStyle w:val="Tabletext"/>
            </w:pPr>
            <w:r>
              <w:t>Addition of requirement to log events.</w:t>
            </w:r>
          </w:p>
          <w:p w:rsidR="00493DE7" w:rsidRDefault="00493DE7" w:rsidP="00E52E08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Addition of requirements to support configuration of:</w:t>
            </w:r>
          </w:p>
          <w:p w:rsidR="00493DE7" w:rsidRDefault="00493DE7" w:rsidP="00E52E08">
            <w:pPr>
              <w:pStyle w:val="Tabletext"/>
              <w:numPr>
                <w:ilvl w:val="0"/>
                <w:numId w:val="20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logging events; </w:t>
            </w:r>
          </w:p>
          <w:p w:rsidR="00493DE7" w:rsidRDefault="00493DE7" w:rsidP="00E52E08">
            <w:pPr>
              <w:pStyle w:val="Tabletext"/>
              <w:numPr>
                <w:ilvl w:val="0"/>
                <w:numId w:val="20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sending Alerts; and </w:t>
            </w:r>
          </w:p>
          <w:p w:rsidR="00493DE7" w:rsidRDefault="00493DE7" w:rsidP="00E52E08">
            <w:pPr>
              <w:pStyle w:val="Tabletext"/>
              <w:numPr>
                <w:ilvl w:val="0"/>
                <w:numId w:val="20"/>
              </w:numPr>
            </w:pPr>
            <w:r>
              <w:rPr>
                <w:lang w:eastAsia="en-GB"/>
              </w:rPr>
              <w:t>sounding Alarms</w:t>
            </w:r>
          </w:p>
        </w:tc>
      </w:tr>
      <w:tr w:rsidR="00493DE7" w:rsidDel="00A2335C" w:rsidTr="00E52E08">
        <w:tc>
          <w:tcPr>
            <w:tcW w:w="2694" w:type="dxa"/>
          </w:tcPr>
          <w:p w:rsidR="00493DE7" w:rsidDel="00A2335C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5.5.2.2</w:t>
            </w:r>
          </w:p>
        </w:tc>
        <w:tc>
          <w:tcPr>
            <w:tcW w:w="6095" w:type="dxa"/>
          </w:tcPr>
          <w:p w:rsidR="00493DE7" w:rsidDel="00A2335C" w:rsidRDefault="00493DE7" w:rsidP="00C74568">
            <w:pPr>
              <w:pStyle w:val="Tabletext"/>
            </w:pPr>
            <w:r>
              <w:rPr>
                <w:lang w:eastAsia="en-GB"/>
              </w:rPr>
              <w:t>Clarification added as to which Commands from a PPMID an ESME needs to be able to support, and the number of Type 1 Device links the ESME must be able to support</w:t>
            </w:r>
          </w:p>
        </w:tc>
      </w:tr>
      <w:tr w:rsidR="00493DE7" w:rsidRP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5.5.4</w:t>
            </w:r>
          </w:p>
        </w:tc>
        <w:tc>
          <w:tcPr>
            <w:tcW w:w="6095" w:type="dxa"/>
          </w:tcPr>
          <w:p w:rsidR="00493DE7" w:rsidRDefault="00493DE7" w:rsidP="00C74568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Changes to align the use of [PIN] across ESME variants and GSME.</w:t>
            </w:r>
          </w:p>
          <w:p w:rsidR="00493DE7" w:rsidRDefault="00493DE7" w:rsidP="00493DE7">
            <w:pPr>
              <w:pStyle w:val="Tabletext"/>
              <w:rPr>
                <w:lang w:eastAsia="en-GB"/>
              </w:rPr>
            </w:pPr>
            <w:r>
              <w:t>Change c</w:t>
            </w:r>
            <w:r w:rsidRPr="00550CD1">
              <w:t xml:space="preserve">larifying that the precision of </w:t>
            </w:r>
            <w:r>
              <w:t>the Single Element ESME</w:t>
            </w:r>
            <w:r w:rsidRPr="00550CD1">
              <w:t xml:space="preserve"> register value displayed does not have to be the same as that held internally in the data store</w:t>
            </w:r>
          </w:p>
        </w:tc>
      </w:tr>
      <w:tr w:rsidR="00E11459" w:rsidRPr="00493DE7" w:rsidTr="00E52E08">
        <w:tc>
          <w:tcPr>
            <w:tcW w:w="2694" w:type="dxa"/>
          </w:tcPr>
          <w:p w:rsidR="00E11459" w:rsidRDefault="00E11459" w:rsidP="00466B5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5.5.6</w:t>
            </w:r>
          </w:p>
        </w:tc>
        <w:tc>
          <w:tcPr>
            <w:tcW w:w="6095" w:type="dxa"/>
          </w:tcPr>
          <w:p w:rsidR="00E11459" w:rsidRDefault="00E11459" w:rsidP="00E11459">
            <w:pPr>
              <w:pStyle w:val="Tabletext"/>
              <w:rPr>
                <w:lang w:eastAsia="en-GB"/>
              </w:rPr>
            </w:pPr>
            <w:r>
              <w:t xml:space="preserve">Modified text in this Section to address </w:t>
            </w:r>
            <w:r w:rsidRPr="00C1790E">
              <w:t>discrepancy</w:t>
            </w:r>
            <w:r>
              <w:t xml:space="preserve"> in that if</w:t>
            </w:r>
            <w:r w:rsidRPr="00C1790E">
              <w:t xml:space="preserve"> a prepayment customer runs out of credit during a non-disablement period AND is subject to a Load Limit Power Threshold, then it is possible for the prepayment customer to lose their supply</w:t>
            </w:r>
            <w:r>
              <w:t>,</w:t>
            </w:r>
            <w:r w:rsidRPr="00C1790E">
              <w:t xml:space="preserve"> not due to lack of credit but due to exceeding the load limit</w:t>
            </w:r>
            <w:r>
              <w:t xml:space="preserve">.  Text </w:t>
            </w:r>
            <w:r>
              <w:lastRenderedPageBreak/>
              <w:t xml:space="preserve">amended to reflect </w:t>
            </w:r>
            <w:r w:rsidRPr="00C1790E">
              <w:t>the</w:t>
            </w:r>
            <w:r>
              <w:t xml:space="preserve"> actual</w:t>
            </w:r>
            <w:r w:rsidRPr="00C1790E">
              <w:t xml:space="preserve"> policy intent</w:t>
            </w:r>
          </w:p>
        </w:tc>
      </w:tr>
      <w:tr w:rsidR="00493DE7" w:rsidRPr="00493DE7" w:rsidTr="00E52E08">
        <w:tc>
          <w:tcPr>
            <w:tcW w:w="2694" w:type="dxa"/>
          </w:tcPr>
          <w:p w:rsidR="00493DE7" w:rsidRDefault="00493DE7" w:rsidP="00466B5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5.5.7.2 and</w:t>
            </w:r>
          </w:p>
          <w:p w:rsidR="00493DE7" w:rsidRDefault="00493DE7" w:rsidP="00466B5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5.11.2.2</w:t>
            </w:r>
          </w:p>
        </w:tc>
        <w:tc>
          <w:tcPr>
            <w:tcW w:w="6095" w:type="dxa"/>
          </w:tcPr>
          <w:p w:rsidR="00493DE7" w:rsidRDefault="00493DE7" w:rsidP="00466B5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Clarifications and revisions to the requirements in relation to debt being recovered in Prepayment Mode when amounts to be collected are greater than those in Debt Registers</w:t>
            </w:r>
          </w:p>
        </w:tc>
      </w:tr>
      <w:tr w:rsidR="00493DE7" w:rsidRP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5.5.8.2 and 5.11.3.2</w:t>
            </w:r>
          </w:p>
        </w:tc>
        <w:tc>
          <w:tcPr>
            <w:tcW w:w="6095" w:type="dxa"/>
          </w:tcPr>
          <w:p w:rsidR="00493DE7" w:rsidRDefault="00493DE7" w:rsidP="00C74568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Addition of the requirement to be able to reset the Tariff Block Counter Matrix once per day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5.5.9.9</w:t>
            </w:r>
            <w:r w:rsidR="005D76C3">
              <w:rPr>
                <w:lang w:eastAsia="en-GB"/>
              </w:rPr>
              <w:t xml:space="preserve">, 5.7.5.2.7, 5.11.4.8 and </w:t>
            </w:r>
            <w:r w:rsidR="005D76C3" w:rsidRPr="00D45A91">
              <w:rPr>
                <w:lang w:eastAsia="en-GB"/>
              </w:rPr>
              <w:t xml:space="preserve"> 5.13.2.7</w:t>
            </w:r>
          </w:p>
        </w:tc>
        <w:tc>
          <w:tcPr>
            <w:tcW w:w="6095" w:type="dxa"/>
          </w:tcPr>
          <w:p w:rsidR="00493DE7" w:rsidRDefault="00493DE7" w:rsidP="00C74568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Addition of requirement to make Active Export, Reactive Import and Reactive Export profile data available over the HAN</w:t>
            </w:r>
            <w:r w:rsidR="005D76C3">
              <w:rPr>
                <w:lang w:eastAsia="en-GB"/>
              </w:rPr>
              <w:t>.</w:t>
            </w:r>
          </w:p>
          <w:p w:rsidR="005D76C3" w:rsidRDefault="005D76C3" w:rsidP="00C74568">
            <w:pPr>
              <w:pStyle w:val="Tabletext"/>
            </w:pPr>
            <w:r>
              <w:rPr>
                <w:lang w:eastAsia="en-GB"/>
              </w:rPr>
              <w:t>Also, c</w:t>
            </w:r>
            <w:r>
              <w:t xml:space="preserve">orrected an anomaly that </w:t>
            </w:r>
            <w:r w:rsidRPr="00BB240C">
              <w:t xml:space="preserve">Profile Data marked as [INFO] was restricted to </w:t>
            </w:r>
            <w:r>
              <w:t xml:space="preserve">Active Energy Imported, causing possible </w:t>
            </w:r>
            <w:r w:rsidRPr="00BB240C">
              <w:t>implication</w:t>
            </w:r>
            <w:r>
              <w:t>s</w:t>
            </w:r>
            <w:r w:rsidRPr="00BB240C">
              <w:t xml:space="preserve"> </w:t>
            </w:r>
            <w:r>
              <w:t>for</w:t>
            </w:r>
            <w:r w:rsidRPr="00BB240C">
              <w:t xml:space="preserve"> customers who have generation plant not be</w:t>
            </w:r>
            <w:r>
              <w:t>ing</w:t>
            </w:r>
            <w:r w:rsidRPr="00BB240C">
              <w:t xml:space="preserve"> able to  access </w:t>
            </w:r>
            <w:r>
              <w:t>exported and reactive energy through HAN Devices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5.5.8, </w:t>
            </w:r>
          </w:p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5.5.11.1, </w:t>
            </w:r>
          </w:p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5.7.5.28, </w:t>
            </w:r>
          </w:p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5.11.3 and </w:t>
            </w:r>
          </w:p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5.21.1</w:t>
            </w:r>
          </w:p>
        </w:tc>
        <w:tc>
          <w:tcPr>
            <w:tcW w:w="6095" w:type="dxa"/>
          </w:tcPr>
          <w:p w:rsidR="00493DE7" w:rsidRDefault="00493DE7" w:rsidP="00C74568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Removal of [INFO] from Randomised Offset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5.5.13</w:t>
            </w:r>
          </w:p>
        </w:tc>
        <w:tc>
          <w:tcPr>
            <w:tcW w:w="6095" w:type="dxa"/>
          </w:tcPr>
          <w:p w:rsidR="00493DE7" w:rsidRDefault="00493DE7" w:rsidP="00C74568">
            <w:pPr>
              <w:pStyle w:val="Tabletext"/>
            </w:pPr>
            <w:r>
              <w:rPr>
                <w:lang w:eastAsia="en-GB"/>
              </w:rPr>
              <w:t>Addition of a requirement to monitor Operational Integrity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5.6.2.2 and 5.6.3.3</w:t>
            </w:r>
          </w:p>
        </w:tc>
        <w:tc>
          <w:tcPr>
            <w:tcW w:w="6095" w:type="dxa"/>
          </w:tcPr>
          <w:p w:rsidR="00493DE7" w:rsidRDefault="00493DE7" w:rsidP="00C74568">
            <w:pPr>
              <w:pStyle w:val="Tabletext"/>
            </w:pPr>
            <w:r>
              <w:rPr>
                <w:lang w:eastAsia="en-GB"/>
              </w:rPr>
              <w:t>Correction of PTUT to UTRN to align to GBCS terminology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5.6.3.7</w:t>
            </w:r>
          </w:p>
        </w:tc>
        <w:tc>
          <w:tcPr>
            <w:tcW w:w="6095" w:type="dxa"/>
          </w:tcPr>
          <w:p w:rsidR="00493DE7" w:rsidRDefault="00493DE7" w:rsidP="00C74568">
            <w:pPr>
              <w:pStyle w:val="Tabletext"/>
            </w:pPr>
            <w:r>
              <w:rPr>
                <w:lang w:eastAsia="en-GB"/>
              </w:rPr>
              <w:t>Drafting changes to clarify the Arm Supply processing requirements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5.6.3.12</w:t>
            </w:r>
          </w:p>
        </w:tc>
        <w:tc>
          <w:tcPr>
            <w:tcW w:w="6095" w:type="dxa"/>
          </w:tcPr>
          <w:p w:rsidR="00493DE7" w:rsidRDefault="00493DE7" w:rsidP="00C74568">
            <w:pPr>
              <w:pStyle w:val="Tabletext"/>
            </w:pPr>
            <w:r>
              <w:rPr>
                <w:lang w:eastAsia="en-GB"/>
              </w:rPr>
              <w:t>Drafting changes to clarify the Enable Supply processing requirements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5.6.3.29</w:t>
            </w:r>
          </w:p>
        </w:tc>
        <w:tc>
          <w:tcPr>
            <w:tcW w:w="6095" w:type="dxa"/>
          </w:tcPr>
          <w:p w:rsidR="00493DE7" w:rsidRDefault="00493DE7" w:rsidP="00C74568">
            <w:pPr>
              <w:pStyle w:val="Tabletext"/>
            </w:pPr>
            <w:r>
              <w:rPr>
                <w:lang w:eastAsia="en-GB"/>
              </w:rPr>
              <w:t>Clarification that ‘Emergency Credit activated and used’ must be reset when the Meter Balance is reset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5.7.4.2</w:t>
            </w:r>
          </w:p>
        </w:tc>
        <w:tc>
          <w:tcPr>
            <w:tcW w:w="6095" w:type="dxa"/>
          </w:tcPr>
          <w:p w:rsidR="00493DE7" w:rsidRDefault="00493DE7" w:rsidP="00C74568">
            <w:pPr>
              <w:pStyle w:val="Tabletext"/>
            </w:pPr>
            <w:r>
              <w:rPr>
                <w:lang w:eastAsia="en-GB"/>
              </w:rPr>
              <w:t>The number of ALCS Calendar switching rules has been revised to 48 to align to GBCS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5.7.4.45</w:t>
            </w:r>
          </w:p>
        </w:tc>
        <w:tc>
          <w:tcPr>
            <w:tcW w:w="6095" w:type="dxa"/>
          </w:tcPr>
          <w:p w:rsidR="00493DE7" w:rsidRDefault="00493DE7" w:rsidP="00CC623E">
            <w:pPr>
              <w:pStyle w:val="Tabletext"/>
            </w:pPr>
            <w:r>
              <w:t>Addition of requirement to collect Standing Charge regardless of how Suspend Debt Disabled is configured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FE0693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5.7.4.51</w:t>
            </w:r>
          </w:p>
        </w:tc>
        <w:tc>
          <w:tcPr>
            <w:tcW w:w="6095" w:type="dxa"/>
          </w:tcPr>
          <w:p w:rsidR="00493DE7" w:rsidRDefault="00493DE7" w:rsidP="00E52E08">
            <w:pPr>
              <w:pStyle w:val="Tabletext"/>
            </w:pPr>
            <w:r>
              <w:rPr>
                <w:lang w:eastAsia="en-GB"/>
              </w:rPr>
              <w:t>New section to support configuration of: logging events, sending Alerts and sounding Alarms.</w:t>
            </w:r>
          </w:p>
          <w:p w:rsidR="00493DE7" w:rsidRDefault="00493DE7" w:rsidP="00E52E08">
            <w:pPr>
              <w:pStyle w:val="Tabletext"/>
              <w:rPr>
                <w:lang w:eastAsia="en-GB"/>
              </w:rPr>
            </w:pPr>
            <w:r>
              <w:t>Addition of requirement to log events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5.9.2</w:t>
            </w:r>
          </w:p>
        </w:tc>
        <w:tc>
          <w:tcPr>
            <w:tcW w:w="6095" w:type="dxa"/>
          </w:tcPr>
          <w:p w:rsidR="00493DE7" w:rsidRDefault="00493DE7" w:rsidP="00EE49C6">
            <w:pPr>
              <w:pStyle w:val="Tabletext"/>
              <w:rPr>
                <w:rFonts w:eastAsia="Times New Roman"/>
                <w:lang w:eastAsia="en-GB"/>
              </w:rPr>
            </w:pPr>
            <w:r>
              <w:t>Amended text to change the date specifying whether features are certifiable by ZigBee and DLMS has changed to 31 July 2017</w:t>
            </w:r>
          </w:p>
        </w:tc>
      </w:tr>
      <w:tr w:rsidR="00493DE7" w:rsidDel="00A2335C" w:rsidTr="00E52E08">
        <w:tc>
          <w:tcPr>
            <w:tcW w:w="2694" w:type="dxa"/>
          </w:tcPr>
          <w:p w:rsidR="00493DE7" w:rsidDel="00A2335C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5.10</w:t>
            </w:r>
          </w:p>
        </w:tc>
        <w:tc>
          <w:tcPr>
            <w:tcW w:w="6095" w:type="dxa"/>
          </w:tcPr>
          <w:p w:rsidR="00493DE7" w:rsidDel="00A2335C" w:rsidRDefault="00493DE7" w:rsidP="00C74568">
            <w:pPr>
              <w:pStyle w:val="Tabletext"/>
            </w:pPr>
            <w:r>
              <w:rPr>
                <w:lang w:eastAsia="en-GB"/>
              </w:rPr>
              <w:t xml:space="preserve">Addition of a requirement to generate and send an Alert when the Supply is Locked due to </w:t>
            </w:r>
            <w:r w:rsidRPr="00571983">
              <w:rPr>
                <w:lang w:eastAsia="en-GB"/>
              </w:rPr>
              <w:t xml:space="preserve">Unauthorised Physical Access through </w:t>
            </w:r>
            <w:r>
              <w:rPr>
                <w:lang w:eastAsia="en-GB"/>
              </w:rPr>
              <w:t>the</w:t>
            </w:r>
            <w:r w:rsidRPr="00571983">
              <w:rPr>
                <w:lang w:eastAsia="en-GB"/>
              </w:rPr>
              <w:t xml:space="preserve"> Secure Perimeter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5.11.1</w:t>
            </w:r>
          </w:p>
        </w:tc>
        <w:tc>
          <w:tcPr>
            <w:tcW w:w="6095" w:type="dxa"/>
          </w:tcPr>
          <w:p w:rsidR="00493DE7" w:rsidRDefault="00493DE7" w:rsidP="00C74568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Changes to align the use of [PIN] across ESME variants and GSME</w:t>
            </w:r>
            <w:r w:rsidR="005D76C3">
              <w:rPr>
                <w:lang w:eastAsia="en-GB"/>
              </w:rPr>
              <w:t>.</w:t>
            </w:r>
          </w:p>
          <w:p w:rsidR="005D76C3" w:rsidRDefault="005D76C3" w:rsidP="00C74568">
            <w:pPr>
              <w:pStyle w:val="Tabletext"/>
            </w:pPr>
            <w:r>
              <w:rPr>
                <w:lang w:eastAsia="en-GB"/>
              </w:rPr>
              <w:t>Also, c</w:t>
            </w:r>
            <w:r w:rsidRPr="00550CD1">
              <w:t xml:space="preserve">larifying that the precision of </w:t>
            </w:r>
            <w:r>
              <w:t>the Twin Element ESME</w:t>
            </w:r>
            <w:r w:rsidRPr="00550CD1">
              <w:t xml:space="preserve"> register value displayed does not have to be the same as that held internally in the data store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5.11.4.8</w:t>
            </w:r>
          </w:p>
        </w:tc>
        <w:tc>
          <w:tcPr>
            <w:tcW w:w="6095" w:type="dxa"/>
          </w:tcPr>
          <w:p w:rsidR="00493DE7" w:rsidRDefault="00493DE7" w:rsidP="00C74568">
            <w:pPr>
              <w:pStyle w:val="Tabletext"/>
            </w:pPr>
            <w:r>
              <w:rPr>
                <w:lang w:eastAsia="en-GB"/>
              </w:rPr>
              <w:t>Addition of requirement to make Active Export, Reactive Import and Reactive Export profile data available over the HAN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5.13.2.7</w:t>
            </w:r>
          </w:p>
        </w:tc>
        <w:tc>
          <w:tcPr>
            <w:tcW w:w="6095" w:type="dxa"/>
          </w:tcPr>
          <w:p w:rsidR="00493DE7" w:rsidRDefault="00493DE7" w:rsidP="00C74568">
            <w:pPr>
              <w:pStyle w:val="Tabletext"/>
            </w:pPr>
            <w:r>
              <w:rPr>
                <w:lang w:eastAsia="en-GB"/>
              </w:rPr>
              <w:t>Addition of requirement to make Active Export, Reactive Import and Reactive Export profile data available over the HAN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5.15.2</w:t>
            </w:r>
          </w:p>
        </w:tc>
        <w:tc>
          <w:tcPr>
            <w:tcW w:w="6095" w:type="dxa"/>
          </w:tcPr>
          <w:p w:rsidR="00493DE7" w:rsidRDefault="00493DE7" w:rsidP="00EE49C6">
            <w:pPr>
              <w:pStyle w:val="Tabletext"/>
              <w:rPr>
                <w:rFonts w:eastAsia="Times New Roman"/>
                <w:lang w:eastAsia="en-GB"/>
              </w:rPr>
            </w:pPr>
            <w:r>
              <w:t>Amended text to change the date specifying whether features are certifiable by ZigBee and DLMS has changed to 31 July 2017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5.16</w:t>
            </w:r>
          </w:p>
        </w:tc>
        <w:tc>
          <w:tcPr>
            <w:tcW w:w="6095" w:type="dxa"/>
          </w:tcPr>
          <w:p w:rsidR="00493DE7" w:rsidRDefault="00493DE7" w:rsidP="00EE49C6">
            <w:pPr>
              <w:pStyle w:val="Tabletext"/>
            </w:pPr>
            <w:r>
              <w:rPr>
                <w:lang w:eastAsia="en-GB"/>
              </w:rPr>
              <w:t xml:space="preserve">Addition of a requirement to generate and send an Alert when the Supply is Locked due to </w:t>
            </w:r>
            <w:r w:rsidRPr="00571983">
              <w:rPr>
                <w:lang w:eastAsia="en-GB"/>
              </w:rPr>
              <w:t xml:space="preserve">Unauthorised Physical Access through </w:t>
            </w:r>
            <w:r>
              <w:rPr>
                <w:lang w:eastAsia="en-GB"/>
              </w:rPr>
              <w:t>the</w:t>
            </w:r>
            <w:r w:rsidRPr="00571983">
              <w:rPr>
                <w:lang w:eastAsia="en-GB"/>
              </w:rPr>
              <w:t xml:space="preserve"> Secure Perimeter</w:t>
            </w:r>
          </w:p>
        </w:tc>
      </w:tr>
      <w:tr w:rsidR="00493DE7" w:rsidDel="00A2335C" w:rsidTr="00E52E08">
        <w:tc>
          <w:tcPr>
            <w:tcW w:w="2694" w:type="dxa"/>
          </w:tcPr>
          <w:p w:rsidR="00493DE7" w:rsidDel="00A2335C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5.22.1.1</w:t>
            </w:r>
          </w:p>
        </w:tc>
        <w:tc>
          <w:tcPr>
            <w:tcW w:w="6095" w:type="dxa"/>
          </w:tcPr>
          <w:p w:rsidR="00493DE7" w:rsidDel="00A2335C" w:rsidRDefault="00493DE7" w:rsidP="00C74568">
            <w:pPr>
              <w:pStyle w:val="Tabletext"/>
              <w:rPr>
                <w:rFonts w:eastAsia="Times New Roman"/>
                <w:lang w:eastAsia="en-GB"/>
              </w:rPr>
            </w:pPr>
            <w:r>
              <w:rPr>
                <w:lang w:eastAsia="en-GB"/>
              </w:rPr>
              <w:t>Correction of the event log the Command is to be recorded in to align to GBCS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6.2.2</w:t>
            </w:r>
          </w:p>
        </w:tc>
        <w:tc>
          <w:tcPr>
            <w:tcW w:w="6095" w:type="dxa"/>
          </w:tcPr>
          <w:p w:rsidR="00493DE7" w:rsidRDefault="00493DE7" w:rsidP="00EE49C6">
            <w:pPr>
              <w:pStyle w:val="Tabletext"/>
              <w:rPr>
                <w:rFonts w:eastAsia="Times New Roman"/>
                <w:lang w:eastAsia="en-GB"/>
              </w:rPr>
            </w:pPr>
            <w:r>
              <w:t>Amended text to change the date specifying whether features are certifiable by ZigBee has changed to 31 July 2017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6.3</w:t>
            </w:r>
          </w:p>
        </w:tc>
        <w:tc>
          <w:tcPr>
            <w:tcW w:w="6095" w:type="dxa"/>
          </w:tcPr>
          <w:p w:rsidR="00493DE7" w:rsidRDefault="00493DE7" w:rsidP="00C74568">
            <w:pPr>
              <w:pStyle w:val="Tabletex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Addition of requirement to support operation in Sub GHz Bands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7.2.2</w:t>
            </w:r>
          </w:p>
        </w:tc>
        <w:tc>
          <w:tcPr>
            <w:tcW w:w="6095" w:type="dxa"/>
          </w:tcPr>
          <w:p w:rsidR="00493DE7" w:rsidRDefault="00493DE7" w:rsidP="00EE49C6">
            <w:pPr>
              <w:pStyle w:val="Tabletext"/>
              <w:rPr>
                <w:rFonts w:eastAsia="Times New Roman"/>
                <w:lang w:eastAsia="en-GB"/>
              </w:rPr>
            </w:pPr>
            <w:r>
              <w:t>Amended text to change the date specifying whether features are certifiable by ZigBee has changed to 31 July 2017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BC1AE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7.3</w:t>
            </w:r>
          </w:p>
        </w:tc>
        <w:tc>
          <w:tcPr>
            <w:tcW w:w="6095" w:type="dxa"/>
          </w:tcPr>
          <w:p w:rsidR="00493DE7" w:rsidRDefault="00493DE7" w:rsidP="00C74568">
            <w:pPr>
              <w:pStyle w:val="Tabletex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Addition of requirement to support operation in Sub GHz Bands</w:t>
            </w:r>
          </w:p>
        </w:tc>
      </w:tr>
      <w:tr w:rsidR="00493DE7" w:rsidDel="00A2335C" w:rsidTr="00E52E08">
        <w:tc>
          <w:tcPr>
            <w:tcW w:w="2694" w:type="dxa"/>
          </w:tcPr>
          <w:p w:rsidR="00493DE7" w:rsidDel="00A2335C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7.5.3.3 and 7.5.3.4</w:t>
            </w:r>
          </w:p>
        </w:tc>
        <w:tc>
          <w:tcPr>
            <w:tcW w:w="6095" w:type="dxa"/>
          </w:tcPr>
          <w:p w:rsidR="00493DE7" w:rsidDel="00A2335C" w:rsidRDefault="00493DE7" w:rsidP="00C74568">
            <w:pPr>
              <w:pStyle w:val="Tabletext"/>
              <w:rPr>
                <w:rFonts w:eastAsia="Times New Roman"/>
                <w:lang w:eastAsia="en-GB"/>
              </w:rPr>
            </w:pPr>
            <w:r>
              <w:rPr>
                <w:lang w:eastAsia="en-GB"/>
              </w:rPr>
              <w:t>Correction of PTUT to UTRN to align to GBCS terminology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8.2.2</w:t>
            </w:r>
          </w:p>
        </w:tc>
        <w:tc>
          <w:tcPr>
            <w:tcW w:w="6095" w:type="dxa"/>
          </w:tcPr>
          <w:p w:rsidR="00493DE7" w:rsidRDefault="00493DE7" w:rsidP="00EE49C6">
            <w:pPr>
              <w:pStyle w:val="Tabletext"/>
              <w:rPr>
                <w:lang w:eastAsia="en-GB"/>
              </w:rPr>
            </w:pPr>
            <w:r>
              <w:t>Amended text to change the date specifying whether features are certifiable by ZigBee has changed to 31 July  2017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1C0DF1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8.3</w:t>
            </w:r>
          </w:p>
        </w:tc>
        <w:tc>
          <w:tcPr>
            <w:tcW w:w="6095" w:type="dxa"/>
          </w:tcPr>
          <w:p w:rsidR="00493DE7" w:rsidRDefault="00493DE7" w:rsidP="00C74568">
            <w:pPr>
              <w:pStyle w:val="Tabletex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Addition of requirement to support operation in Sub GHz Bands</w:t>
            </w:r>
          </w:p>
        </w:tc>
      </w:tr>
      <w:tr w:rsidR="00493DE7" w:rsidTr="00E52E08">
        <w:tc>
          <w:tcPr>
            <w:tcW w:w="2694" w:type="dxa"/>
          </w:tcPr>
          <w:p w:rsidR="00493DE7" w:rsidRDefault="00493DE7" w:rsidP="0069725C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9: Glossary</w:t>
            </w:r>
          </w:p>
        </w:tc>
        <w:tc>
          <w:tcPr>
            <w:tcW w:w="6095" w:type="dxa"/>
          </w:tcPr>
          <w:p w:rsidR="00493DE7" w:rsidRDefault="00493DE7" w:rsidP="00795782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Addition of definitions for: ‘</w:t>
            </w:r>
            <w:r w:rsidRPr="00DD1D11">
              <w:rPr>
                <w:lang w:eastAsia="en-GB"/>
              </w:rPr>
              <w:t>Critical Event</w:t>
            </w:r>
            <w:r>
              <w:rPr>
                <w:lang w:eastAsia="en-GB"/>
              </w:rPr>
              <w:t xml:space="preserve">’, ‘Frequency Agility’, </w:t>
            </w:r>
            <w:r w:rsidR="00B4713E">
              <w:rPr>
                <w:lang w:eastAsia="en-GB"/>
              </w:rPr>
              <w:t xml:space="preserve">‘NCSC’, </w:t>
            </w:r>
            <w:r>
              <w:rPr>
                <w:lang w:eastAsia="en-GB"/>
              </w:rPr>
              <w:t>‘Smart Meter Operational Integrity’, ‘Sub GHz Bands’ and ‘</w:t>
            </w:r>
            <w:proofErr w:type="spellStart"/>
            <w:r>
              <w:rPr>
                <w:lang w:eastAsia="en-GB"/>
              </w:rPr>
              <w:t>UTRN</w:t>
            </w:r>
            <w:proofErr w:type="spellEnd"/>
            <w:r>
              <w:rPr>
                <w:lang w:eastAsia="en-GB"/>
              </w:rPr>
              <w:t xml:space="preserve"> Counter’.</w:t>
            </w:r>
          </w:p>
          <w:p w:rsidR="00493DE7" w:rsidRDefault="00493DE7" w:rsidP="00795782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Amended definition for: ‘</w:t>
            </w:r>
            <w:r w:rsidRPr="002842D9">
              <w:rPr>
                <w:lang w:eastAsia="en-GB"/>
              </w:rPr>
              <w:t>ZigBee Smart Energy Profile (SEP)</w:t>
            </w:r>
            <w:r>
              <w:rPr>
                <w:lang w:eastAsia="en-GB"/>
              </w:rPr>
              <w:t xml:space="preserve">’. </w:t>
            </w:r>
          </w:p>
          <w:p w:rsidR="00493DE7" w:rsidRDefault="00493DE7" w:rsidP="00795782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Removal of definition for: ‘</w:t>
            </w:r>
            <w:proofErr w:type="spellStart"/>
            <w:r>
              <w:rPr>
                <w:lang w:eastAsia="en-GB"/>
              </w:rPr>
              <w:t>PTUT</w:t>
            </w:r>
            <w:proofErr w:type="spellEnd"/>
            <w:r>
              <w:rPr>
                <w:lang w:eastAsia="en-GB"/>
              </w:rPr>
              <w:t>’</w:t>
            </w:r>
            <w:r w:rsidR="00B4713E">
              <w:rPr>
                <w:lang w:eastAsia="en-GB"/>
              </w:rPr>
              <w:t xml:space="preserve"> and ‘</w:t>
            </w:r>
            <w:proofErr w:type="spellStart"/>
            <w:r w:rsidR="00B4713E">
              <w:rPr>
                <w:lang w:eastAsia="en-GB"/>
              </w:rPr>
              <w:t>CESG</w:t>
            </w:r>
            <w:proofErr w:type="spellEnd"/>
            <w:r w:rsidR="00B4713E">
              <w:rPr>
                <w:lang w:eastAsia="en-GB"/>
              </w:rPr>
              <w:t>’</w:t>
            </w:r>
          </w:p>
        </w:tc>
      </w:tr>
    </w:tbl>
    <w:p w:rsidR="00763073" w:rsidRPr="00EE7129" w:rsidRDefault="00763073" w:rsidP="00763073">
      <w:pPr>
        <w:pStyle w:val="TableHeader"/>
        <w:framePr w:hSpace="0" w:wrap="auto" w:vAnchor="margin" w:hAnchor="text" w:yAlign="inline"/>
        <w:rPr>
          <w:lang w:eastAsia="en-GB"/>
        </w:rPr>
      </w:pPr>
      <w:r w:rsidRPr="00EE7129">
        <w:rPr>
          <w:lang w:eastAsia="en-GB"/>
        </w:rPr>
        <w:t>Release Note: Table of Section Changes</w:t>
      </w:r>
    </w:p>
    <w:p w:rsidR="00763073" w:rsidRDefault="00763073" w:rsidP="00763073">
      <w:pPr>
        <w:spacing w:before="0" w:after="200" w:line="276" w:lineRule="auto"/>
        <w:rPr>
          <w:rFonts w:ascii="Arial Bold" w:eastAsiaTheme="majorEastAsia" w:hAnsi="Arial Bold"/>
          <w:b/>
          <w:bCs/>
          <w:i/>
          <w:iCs/>
          <w:noProof/>
          <w:color w:val="009EE3"/>
        </w:rPr>
      </w:pPr>
      <w:r>
        <w:br w:type="page"/>
      </w:r>
    </w:p>
    <w:p w:rsidR="00763073" w:rsidRDefault="007F7272" w:rsidP="00763073">
      <w:pPr>
        <w:pStyle w:val="Head4nonum"/>
      </w:pPr>
      <w:r>
        <w:lastRenderedPageBreak/>
        <w:t>SMETS</w:t>
      </w:r>
      <w:r w:rsidR="004142FD">
        <w:t>2</w:t>
      </w:r>
      <w:r>
        <w:t xml:space="preserve"> </w:t>
      </w:r>
      <w:r w:rsidR="00763073">
        <w:t>Document Revision History</w:t>
      </w:r>
    </w:p>
    <w:tbl>
      <w:tblPr>
        <w:tblStyle w:val="TableGrid"/>
        <w:tblW w:w="9564" w:type="dxa"/>
        <w:tblLook w:val="04A0" w:firstRow="1" w:lastRow="0" w:firstColumn="1" w:lastColumn="0" w:noHBand="0" w:noVBand="1"/>
      </w:tblPr>
      <w:tblGrid>
        <w:gridCol w:w="1101"/>
        <w:gridCol w:w="992"/>
        <w:gridCol w:w="1276"/>
        <w:gridCol w:w="6195"/>
      </w:tblGrid>
      <w:tr w:rsidR="003D4321" w:rsidRPr="00F500D8" w:rsidTr="0069725C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nil"/>
              <w:right w:val="single" w:sz="4" w:space="0" w:color="FFFFFF" w:themeColor="background1"/>
            </w:tcBorders>
            <w:shd w:val="clear" w:color="auto" w:fill="009EE3"/>
          </w:tcPr>
          <w:bookmarkEnd w:id="28"/>
          <w:bookmarkEnd w:id="29"/>
          <w:p w:rsidR="003D4321" w:rsidRPr="00683B7E" w:rsidRDefault="003D4321" w:rsidP="0069725C">
            <w:pPr>
              <w:pStyle w:val="NoSpacing"/>
              <w:jc w:val="center"/>
              <w:rPr>
                <w:color w:val="FFFFFF" w:themeColor="background1"/>
                <w:szCs w:val="22"/>
              </w:rPr>
            </w:pPr>
            <w:r w:rsidRPr="00683B7E">
              <w:rPr>
                <w:color w:val="FFFFFF" w:themeColor="background1"/>
                <w:szCs w:val="22"/>
              </w:rPr>
              <w:t>Version</w:t>
            </w: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9EE3"/>
          </w:tcPr>
          <w:p w:rsidR="003D4321" w:rsidRPr="00683B7E" w:rsidRDefault="003D4321" w:rsidP="0069725C">
            <w:pPr>
              <w:pStyle w:val="NoSpacing"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Rev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9EE3"/>
          </w:tcPr>
          <w:p w:rsidR="003D4321" w:rsidRPr="00683B7E" w:rsidRDefault="003D4321" w:rsidP="0069725C">
            <w:pPr>
              <w:pStyle w:val="NoSpacing"/>
              <w:jc w:val="center"/>
              <w:rPr>
                <w:color w:val="FFFFFF" w:themeColor="background1"/>
                <w:szCs w:val="22"/>
              </w:rPr>
            </w:pPr>
            <w:r w:rsidRPr="00683B7E">
              <w:rPr>
                <w:color w:val="FFFFFF" w:themeColor="background1"/>
                <w:szCs w:val="22"/>
              </w:rPr>
              <w:t>Date of Issue</w:t>
            </w:r>
          </w:p>
        </w:tc>
        <w:tc>
          <w:tcPr>
            <w:tcW w:w="619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EE3"/>
          </w:tcPr>
          <w:p w:rsidR="003D4321" w:rsidRPr="00683B7E" w:rsidRDefault="003D4321" w:rsidP="0069725C">
            <w:pPr>
              <w:pStyle w:val="NoSpacing"/>
              <w:rPr>
                <w:color w:val="FFFFFF" w:themeColor="background1"/>
                <w:szCs w:val="22"/>
              </w:rPr>
            </w:pPr>
            <w:r w:rsidRPr="00683B7E">
              <w:rPr>
                <w:color w:val="FFFFFF" w:themeColor="background1"/>
                <w:szCs w:val="22"/>
              </w:rPr>
              <w:t>Change Summary</w:t>
            </w:r>
          </w:p>
        </w:tc>
      </w:tr>
      <w:tr w:rsidR="003D4321" w:rsidTr="0069725C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3D4321" w:rsidRPr="00683B7E" w:rsidRDefault="003D4321" w:rsidP="0069725C">
            <w:pPr>
              <w:pStyle w:val="NoSpacing"/>
              <w:jc w:val="center"/>
              <w:rPr>
                <w:sz w:val="20"/>
                <w:szCs w:val="20"/>
              </w:rPr>
            </w:pPr>
            <w:r w:rsidRPr="00683B7E">
              <w:rPr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3D4321" w:rsidRPr="00683B7E" w:rsidRDefault="003D4321" w:rsidP="0069725C">
            <w:pPr>
              <w:pStyle w:val="NoSpacing"/>
              <w:jc w:val="center"/>
              <w:rPr>
                <w:sz w:val="20"/>
                <w:szCs w:val="20"/>
              </w:rPr>
            </w:pPr>
            <w:r w:rsidRPr="00683B7E">
              <w:rPr>
                <w:sz w:val="20"/>
                <w:szCs w:val="20"/>
              </w:rPr>
              <w:t>Final</w:t>
            </w:r>
          </w:p>
        </w:tc>
        <w:tc>
          <w:tcPr>
            <w:tcW w:w="1276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3D4321" w:rsidRPr="00683B7E" w:rsidRDefault="00874F3F" w:rsidP="006972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08/11/2016</w:t>
            </w:r>
          </w:p>
        </w:tc>
        <w:tc>
          <w:tcPr>
            <w:tcW w:w="61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3D4321" w:rsidRPr="00683B7E" w:rsidRDefault="003D4321" w:rsidP="0069725C">
            <w:pPr>
              <w:pStyle w:val="NoSpacing"/>
              <w:rPr>
                <w:sz w:val="20"/>
                <w:szCs w:val="20"/>
              </w:rPr>
            </w:pPr>
            <w:r w:rsidRPr="00683B7E">
              <w:rPr>
                <w:sz w:val="20"/>
                <w:szCs w:val="20"/>
              </w:rPr>
              <w:t>Version of SMETS</w:t>
            </w:r>
            <w:r w:rsidR="004142FD">
              <w:rPr>
                <w:sz w:val="20"/>
                <w:szCs w:val="20"/>
              </w:rPr>
              <w:t>2</w:t>
            </w:r>
            <w:r w:rsidRPr="00683B7E">
              <w:rPr>
                <w:sz w:val="20"/>
                <w:szCs w:val="20"/>
              </w:rPr>
              <w:t xml:space="preserve"> Incorporated into the Smart Energy Code (SEC) for DCC Release 1.2</w:t>
            </w:r>
          </w:p>
        </w:tc>
      </w:tr>
      <w:tr w:rsidR="003D4321" w:rsidTr="0069725C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3D4321" w:rsidRPr="00683B7E" w:rsidRDefault="003D4321" w:rsidP="0069725C">
            <w:pPr>
              <w:pStyle w:val="NoSpacing"/>
              <w:jc w:val="center"/>
              <w:rPr>
                <w:sz w:val="20"/>
                <w:szCs w:val="20"/>
              </w:rPr>
            </w:pPr>
            <w:r w:rsidRPr="00683B7E">
              <w:rPr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3D4321" w:rsidRPr="00683B7E" w:rsidRDefault="003D4321" w:rsidP="0069725C">
            <w:pPr>
              <w:pStyle w:val="NoSpacing"/>
              <w:jc w:val="center"/>
              <w:rPr>
                <w:sz w:val="20"/>
                <w:szCs w:val="20"/>
              </w:rPr>
            </w:pPr>
            <w:r w:rsidRPr="00683B7E">
              <w:rPr>
                <w:sz w:val="20"/>
                <w:szCs w:val="20"/>
              </w:rPr>
              <w:t>Draft 1</w:t>
            </w:r>
          </w:p>
        </w:tc>
        <w:tc>
          <w:tcPr>
            <w:tcW w:w="1276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3D4321" w:rsidRPr="00683B7E" w:rsidRDefault="003D4321" w:rsidP="0069725C">
            <w:pPr>
              <w:pStyle w:val="NoSpacing"/>
              <w:jc w:val="center"/>
              <w:rPr>
                <w:sz w:val="20"/>
                <w:szCs w:val="20"/>
              </w:rPr>
            </w:pPr>
            <w:r w:rsidRPr="00683B7E">
              <w:rPr>
                <w:sz w:val="20"/>
                <w:szCs w:val="20"/>
              </w:rPr>
              <w:t>17/08/2016</w:t>
            </w:r>
          </w:p>
        </w:tc>
        <w:tc>
          <w:tcPr>
            <w:tcW w:w="61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3D4321" w:rsidRPr="00683B7E" w:rsidRDefault="003D4321" w:rsidP="006972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Issued to TBDG for review prior to baselining</w:t>
            </w:r>
          </w:p>
        </w:tc>
      </w:tr>
      <w:tr w:rsidR="003D4321" w:rsidTr="0069725C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3D4321" w:rsidRPr="00683B7E" w:rsidRDefault="003D4321" w:rsidP="006972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3D4321" w:rsidRPr="00683B7E" w:rsidRDefault="003D4321" w:rsidP="006972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2</w:t>
            </w:r>
          </w:p>
        </w:tc>
        <w:tc>
          <w:tcPr>
            <w:tcW w:w="1276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3D4321" w:rsidRPr="00683B7E" w:rsidRDefault="003D4321" w:rsidP="006972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21/09/2016</w:t>
            </w:r>
          </w:p>
        </w:tc>
        <w:tc>
          <w:tcPr>
            <w:tcW w:w="61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3D4321" w:rsidRPr="00683B7E" w:rsidRDefault="003D4321" w:rsidP="006972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Following TBDG review first baselined v2.0</w:t>
            </w:r>
          </w:p>
        </w:tc>
      </w:tr>
      <w:tr w:rsidR="00874F3F" w:rsidTr="0069725C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874F3F" w:rsidRDefault="00874F3F" w:rsidP="006972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874F3F" w:rsidRDefault="00874F3F" w:rsidP="006972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3</w:t>
            </w:r>
          </w:p>
        </w:tc>
        <w:tc>
          <w:tcPr>
            <w:tcW w:w="1276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874F3F" w:rsidRDefault="00874F3F" w:rsidP="00DB41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</w:t>
            </w:r>
            <w:r w:rsidR="00DB412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/201</w:t>
            </w:r>
            <w:r w:rsidR="00DB4122">
              <w:rPr>
                <w:sz w:val="20"/>
                <w:szCs w:val="20"/>
              </w:rPr>
              <w:t>7</w:t>
            </w:r>
          </w:p>
        </w:tc>
        <w:tc>
          <w:tcPr>
            <w:tcW w:w="61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874F3F" w:rsidRDefault="00B4713E" w:rsidP="00B471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F05BC1">
              <w:rPr>
                <w:sz w:val="20"/>
                <w:szCs w:val="20"/>
              </w:rPr>
              <w:t>aseline</w:t>
            </w:r>
            <w:r w:rsidR="00570026">
              <w:rPr>
                <w:sz w:val="20"/>
                <w:szCs w:val="20"/>
              </w:rPr>
              <w:t>d</w:t>
            </w:r>
            <w:r w:rsidR="00F05BC1">
              <w:rPr>
                <w:sz w:val="20"/>
                <w:szCs w:val="20"/>
              </w:rPr>
              <w:t xml:space="preserve"> by TBDG 31 January 2017</w:t>
            </w:r>
          </w:p>
        </w:tc>
      </w:tr>
      <w:tr w:rsidR="002F400A" w:rsidTr="0069725C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2F400A" w:rsidRDefault="002F400A" w:rsidP="006972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2F400A" w:rsidRDefault="002F400A" w:rsidP="002F400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 4 </w:t>
            </w:r>
          </w:p>
        </w:tc>
        <w:tc>
          <w:tcPr>
            <w:tcW w:w="1276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2F400A" w:rsidRDefault="002F400A" w:rsidP="005D4E3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30/05/2017</w:t>
            </w:r>
          </w:p>
        </w:tc>
        <w:tc>
          <w:tcPr>
            <w:tcW w:w="61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2F400A" w:rsidRDefault="002F400A" w:rsidP="002F400A">
            <w:pPr>
              <w:pStyle w:val="NoSpacing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Baselined by TBDG 30 May 2017</w:t>
            </w:r>
          </w:p>
        </w:tc>
      </w:tr>
      <w:tr w:rsidR="00B4713E" w:rsidTr="0069725C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B4713E" w:rsidRDefault="00B4713E" w:rsidP="00466B5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B4713E" w:rsidRDefault="00B4713E" w:rsidP="00B471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5</w:t>
            </w:r>
          </w:p>
        </w:tc>
        <w:tc>
          <w:tcPr>
            <w:tcW w:w="1276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B4713E" w:rsidRDefault="008C239A" w:rsidP="007704A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30" w:name="_GoBack"/>
            <w:bookmarkEnd w:id="30"/>
            <w:r w:rsidR="007704A4">
              <w:rPr>
                <w:sz w:val="20"/>
                <w:szCs w:val="20"/>
              </w:rPr>
              <w:t>4</w:t>
            </w:r>
            <w:r w:rsidR="00B4713E">
              <w:rPr>
                <w:sz w:val="20"/>
                <w:szCs w:val="20"/>
              </w:rPr>
              <w:t>/1</w:t>
            </w:r>
            <w:r w:rsidR="00D637A1">
              <w:rPr>
                <w:sz w:val="20"/>
                <w:szCs w:val="20"/>
              </w:rPr>
              <w:t>2</w:t>
            </w:r>
            <w:r w:rsidR="00B4713E">
              <w:rPr>
                <w:sz w:val="20"/>
                <w:szCs w:val="20"/>
              </w:rPr>
              <w:t>/2017</w:t>
            </w:r>
          </w:p>
        </w:tc>
        <w:tc>
          <w:tcPr>
            <w:tcW w:w="61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:rsidR="00B4713E" w:rsidRDefault="007704A4" w:rsidP="007704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Issued to the Authority (Ofgem), the SEC Panel, SEC Parties and other interested parties as part of Release 2 Consultation Letter prior to baselining and designation</w:t>
            </w:r>
          </w:p>
        </w:tc>
      </w:tr>
    </w:tbl>
    <w:p w:rsidR="00AC5DAD" w:rsidRDefault="00AC5DAD" w:rsidP="00763073">
      <w:pPr>
        <w:spacing w:before="0" w:after="200" w:line="276" w:lineRule="auto"/>
      </w:pPr>
    </w:p>
    <w:p w:rsidR="00AC5DAD" w:rsidRDefault="00AC5DAD" w:rsidP="00763073">
      <w:pPr>
        <w:spacing w:before="0" w:after="200" w:line="276" w:lineRule="auto"/>
        <w:sectPr w:rsidR="00AC5DAD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C5DAD" w:rsidRDefault="00AC5DAD" w:rsidP="00AC5DAD">
      <w:pPr>
        <w:pStyle w:val="NoSpacing"/>
      </w:pPr>
    </w:p>
    <w:p w:rsidR="00AC5DAD" w:rsidRDefault="00AC5DAD" w:rsidP="00AC5DAD">
      <w:pPr>
        <w:pStyle w:val="NoSpacing"/>
      </w:pPr>
    </w:p>
    <w:p w:rsidR="00AC5DAD" w:rsidRDefault="00AC5DAD" w:rsidP="00AC5DAD">
      <w:pPr>
        <w:pStyle w:val="NoSpacing"/>
      </w:pPr>
    </w:p>
    <w:p w:rsidR="00AC5DAD" w:rsidRDefault="00AC5DAD" w:rsidP="00AC5DAD">
      <w:pPr>
        <w:pStyle w:val="NoSpacing"/>
      </w:pPr>
    </w:p>
    <w:p w:rsidR="00AC5DAD" w:rsidRDefault="00AC5DAD" w:rsidP="00AC5DAD">
      <w:pPr>
        <w:pStyle w:val="NoSpacing"/>
      </w:pPr>
    </w:p>
    <w:p w:rsidR="00AC5DAD" w:rsidRDefault="00AC5DAD" w:rsidP="00AC5DAD">
      <w:pPr>
        <w:pStyle w:val="NoSpacing"/>
      </w:pPr>
    </w:p>
    <w:p w:rsidR="00AC5DAD" w:rsidRDefault="00AC5DAD" w:rsidP="00AC5DAD">
      <w:pPr>
        <w:pStyle w:val="NoSpacing"/>
      </w:pPr>
    </w:p>
    <w:p w:rsidR="00AC5DAD" w:rsidRDefault="00AC5DAD" w:rsidP="00AC5DAD">
      <w:pPr>
        <w:pStyle w:val="NoSpacing"/>
      </w:pPr>
    </w:p>
    <w:p w:rsidR="00AC5DAD" w:rsidRDefault="00AC5DAD" w:rsidP="00AC5DAD">
      <w:pPr>
        <w:pStyle w:val="NoSpacing"/>
      </w:pPr>
    </w:p>
    <w:p w:rsidR="00AC5DAD" w:rsidRDefault="00AC5DAD" w:rsidP="00AC5DAD">
      <w:pPr>
        <w:pStyle w:val="NoSpacing"/>
      </w:pPr>
    </w:p>
    <w:p w:rsidR="00AC5DAD" w:rsidRDefault="00AC5DAD" w:rsidP="00AC5DAD">
      <w:pPr>
        <w:pStyle w:val="NoSpacing"/>
      </w:pPr>
    </w:p>
    <w:p w:rsidR="00AC5DAD" w:rsidRDefault="00AC5DAD" w:rsidP="00AC5DAD">
      <w:pPr>
        <w:pStyle w:val="NoSpacing"/>
      </w:pPr>
    </w:p>
    <w:p w:rsidR="00AC5DAD" w:rsidRDefault="00AC5DAD" w:rsidP="00AC5DAD">
      <w:pPr>
        <w:pStyle w:val="NoSpacing"/>
      </w:pPr>
    </w:p>
    <w:p w:rsidR="00AC5DAD" w:rsidRDefault="00AC5DAD" w:rsidP="00AC5DAD">
      <w:pPr>
        <w:pStyle w:val="NoSpacing"/>
      </w:pPr>
    </w:p>
    <w:p w:rsidR="00AC5DAD" w:rsidRDefault="00AC5DAD" w:rsidP="00AC5DAD">
      <w:pPr>
        <w:pStyle w:val="NoSpacing"/>
      </w:pPr>
    </w:p>
    <w:p w:rsidR="00AC5DAD" w:rsidRDefault="00AC5DAD" w:rsidP="00AC5DAD">
      <w:pPr>
        <w:pStyle w:val="NoSpacing"/>
      </w:pPr>
    </w:p>
    <w:p w:rsidR="00AC5DAD" w:rsidRDefault="00AC5DAD" w:rsidP="00AC5DAD">
      <w:pPr>
        <w:pStyle w:val="NoSpacing"/>
      </w:pPr>
    </w:p>
    <w:p w:rsidR="00AC5DAD" w:rsidRDefault="00AC5DAD" w:rsidP="00AC5DAD">
      <w:pPr>
        <w:pStyle w:val="NoSpacing"/>
      </w:pPr>
    </w:p>
    <w:p w:rsidR="00AC5DAD" w:rsidRDefault="00AC5DAD" w:rsidP="00AC5DAD">
      <w:pPr>
        <w:pStyle w:val="NoSpacing"/>
      </w:pPr>
    </w:p>
    <w:p w:rsidR="00AC5DAD" w:rsidRDefault="00AC5DAD" w:rsidP="00AC5DAD">
      <w:pPr>
        <w:pStyle w:val="NoSpacing"/>
      </w:pPr>
    </w:p>
    <w:p w:rsidR="00AC5DAD" w:rsidRDefault="00AC5DAD" w:rsidP="00AC5DAD">
      <w:pPr>
        <w:pStyle w:val="NoSpacing"/>
      </w:pPr>
    </w:p>
    <w:p w:rsidR="00AC5DAD" w:rsidRDefault="00AC5DAD" w:rsidP="00AC5DAD">
      <w:pPr>
        <w:pStyle w:val="NoSpacing"/>
      </w:pPr>
    </w:p>
    <w:p w:rsidR="00AC5DAD" w:rsidRDefault="00AC5DAD" w:rsidP="00AC5DAD">
      <w:pPr>
        <w:pStyle w:val="NoSpacing"/>
      </w:pPr>
    </w:p>
    <w:p w:rsidR="00AC5DAD" w:rsidRDefault="00AC5DAD" w:rsidP="00AC5DAD">
      <w:pPr>
        <w:pStyle w:val="NoSpacing"/>
      </w:pPr>
    </w:p>
    <w:p w:rsidR="00AC5DAD" w:rsidRDefault="00AC5DAD" w:rsidP="00AC5DAD">
      <w:pPr>
        <w:pStyle w:val="NoSpacing"/>
      </w:pPr>
    </w:p>
    <w:p w:rsidR="00AC5DAD" w:rsidRDefault="00AC5DAD" w:rsidP="00AC5DAD">
      <w:pPr>
        <w:pStyle w:val="NoSpacing"/>
      </w:pPr>
    </w:p>
    <w:p w:rsidR="00AC5DAD" w:rsidRDefault="00AC5DAD" w:rsidP="00AC5DAD">
      <w:pPr>
        <w:pStyle w:val="NoSpacing"/>
      </w:pPr>
    </w:p>
    <w:p w:rsidR="00AC5DAD" w:rsidRDefault="00AC5DAD" w:rsidP="00AC5DAD">
      <w:pPr>
        <w:pStyle w:val="NoSpacing"/>
      </w:pPr>
    </w:p>
    <w:p w:rsidR="00AC5DAD" w:rsidRDefault="00AC5DAD" w:rsidP="00AC5DAD">
      <w:pPr>
        <w:pStyle w:val="NoSpacing"/>
      </w:pPr>
    </w:p>
    <w:p w:rsidR="00AC5DAD" w:rsidRDefault="00AC5DAD" w:rsidP="00AC5DAD">
      <w:pPr>
        <w:pStyle w:val="NoSpacing"/>
      </w:pPr>
    </w:p>
    <w:p w:rsidR="00AC5DAD" w:rsidRDefault="00AC5DAD" w:rsidP="00AC5DAD">
      <w:pPr>
        <w:pStyle w:val="NoSpacing"/>
      </w:pPr>
    </w:p>
    <w:p w:rsidR="00AC5DAD" w:rsidRDefault="00AC5DAD" w:rsidP="00AC5DAD">
      <w:pPr>
        <w:pStyle w:val="NoSpacing"/>
      </w:pPr>
    </w:p>
    <w:p w:rsidR="00AC5DAD" w:rsidRPr="00F63F68" w:rsidRDefault="00AC5DAD" w:rsidP="00AC5DAD">
      <w:pPr>
        <w:pStyle w:val="NoSpacing"/>
        <w:rPr>
          <w:color w:val="FFFFFF" w:themeColor="background1"/>
        </w:rPr>
      </w:pPr>
      <w:r w:rsidRPr="00F63F68">
        <w:rPr>
          <w:color w:val="FFFFFF" w:themeColor="background1"/>
        </w:rPr>
        <w:t>Crown copyright 201</w:t>
      </w:r>
      <w:r>
        <w:rPr>
          <w:color w:val="FFFFFF" w:themeColor="background1"/>
        </w:rPr>
        <w:t>7</w:t>
      </w:r>
    </w:p>
    <w:p w:rsidR="00AC5DAD" w:rsidRPr="00F63F68" w:rsidRDefault="00AC5DAD" w:rsidP="00AC5DAD">
      <w:pPr>
        <w:pStyle w:val="NoSpacing"/>
        <w:rPr>
          <w:color w:val="FFFFFF" w:themeColor="background1"/>
        </w:rPr>
      </w:pPr>
    </w:p>
    <w:p w:rsidR="00AC5DAD" w:rsidRPr="00F63F68" w:rsidRDefault="00AC5DAD" w:rsidP="00AC5DAD">
      <w:pPr>
        <w:pStyle w:val="NoSpacing"/>
        <w:rPr>
          <w:color w:val="FFFFFF" w:themeColor="background1"/>
        </w:rPr>
      </w:pPr>
      <w:r w:rsidRPr="00550B95">
        <w:rPr>
          <w:color w:val="FFFFFF" w:themeColor="background1"/>
        </w:rPr>
        <w:t>Department for</w:t>
      </w:r>
      <w:r>
        <w:rPr>
          <w:color w:val="FFFFFF" w:themeColor="background1"/>
        </w:rPr>
        <w:t xml:space="preserve"> </w:t>
      </w:r>
      <w:r w:rsidRPr="00550B95">
        <w:rPr>
          <w:color w:val="FFFFFF" w:themeColor="background1"/>
        </w:rPr>
        <w:t>Business, Energy&amp; Industrial Strategy</w:t>
      </w:r>
    </w:p>
    <w:p w:rsidR="00AC5DAD" w:rsidRPr="00F63F68" w:rsidRDefault="00DD024E" w:rsidP="00AC5DAD">
      <w:pPr>
        <w:pStyle w:val="NoSpacing"/>
        <w:rPr>
          <w:color w:val="FFFFFF" w:themeColor="background1"/>
        </w:rPr>
      </w:pPr>
      <w:r>
        <w:rPr>
          <w:color w:val="FFFFFF" w:themeColor="background1"/>
        </w:rPr>
        <w:t>1 Victoria Street</w:t>
      </w:r>
    </w:p>
    <w:p w:rsidR="00AC5DAD" w:rsidRPr="00F63F68" w:rsidRDefault="00AC5DAD" w:rsidP="00AC5DAD">
      <w:pPr>
        <w:pStyle w:val="NoSpacing"/>
        <w:rPr>
          <w:color w:val="FFFFFF" w:themeColor="background1"/>
        </w:rPr>
      </w:pPr>
      <w:r w:rsidRPr="00F63F68">
        <w:rPr>
          <w:color w:val="FFFFFF" w:themeColor="background1"/>
        </w:rPr>
        <w:t xml:space="preserve">London </w:t>
      </w:r>
      <w:r w:rsidR="00DD024E" w:rsidRPr="00DD024E">
        <w:rPr>
          <w:color w:val="FFFFFF" w:themeColor="background1"/>
        </w:rPr>
        <w:t>SW1H 0ET</w:t>
      </w:r>
    </w:p>
    <w:p w:rsidR="00AC5DAD" w:rsidRPr="00F63F68" w:rsidRDefault="00AC5DAD" w:rsidP="00AC5DAD">
      <w:pPr>
        <w:pStyle w:val="NoSpacing"/>
        <w:rPr>
          <w:color w:val="FFFFFF" w:themeColor="background1"/>
        </w:rPr>
      </w:pPr>
    </w:p>
    <w:p w:rsidR="00AC5DAD" w:rsidRDefault="00001C81" w:rsidP="00AC5DAD">
      <w:pPr>
        <w:pStyle w:val="NoSpacing"/>
        <w:rPr>
          <w:color w:val="FFFFFF" w:themeColor="background1"/>
        </w:rPr>
      </w:pPr>
      <w:hyperlink r:id="rId17" w:history="1">
        <w:r w:rsidR="00AC5DAD" w:rsidRPr="00B074BB">
          <w:rPr>
            <w:rStyle w:val="Hyperlink"/>
            <w:rFonts w:eastAsiaTheme="majorEastAsia"/>
          </w:rPr>
          <w:t>www.gov.uk/</w:t>
        </w:r>
        <w:r w:rsidR="00AC5DAD">
          <w:rPr>
            <w:rStyle w:val="Hyperlink"/>
            <w:rFonts w:eastAsiaTheme="majorEastAsia"/>
          </w:rPr>
          <w:t>beis</w:t>
        </w:r>
      </w:hyperlink>
    </w:p>
    <w:p w:rsidR="00763073" w:rsidRDefault="00763073" w:rsidP="00763073">
      <w:pPr>
        <w:spacing w:before="0" w:after="200" w:line="276" w:lineRule="auto"/>
      </w:pPr>
    </w:p>
    <w:p w:rsidR="00F5427C" w:rsidRDefault="00F5427C"/>
    <w:sectPr w:rsidR="00F5427C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81" w:rsidRDefault="00001C81" w:rsidP="00763073">
      <w:pPr>
        <w:spacing w:before="0" w:after="0"/>
      </w:pPr>
      <w:r>
        <w:separator/>
      </w:r>
    </w:p>
  </w:endnote>
  <w:endnote w:type="continuationSeparator" w:id="0">
    <w:p w:rsidR="00001C81" w:rsidRDefault="00001C81" w:rsidP="007630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90" w:rsidRDefault="004F53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90" w:rsidRDefault="004F53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90" w:rsidRDefault="004F539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single" w:sz="4" w:space="0" w:color="009EE3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763073" w:rsidRPr="007A7CB6" w:rsidTr="0069725C">
      <w:tc>
        <w:tcPr>
          <w:tcW w:w="1666" w:type="pct"/>
        </w:tcPr>
        <w:p w:rsidR="00763073" w:rsidRPr="007A7CB6" w:rsidRDefault="00763073" w:rsidP="00AC5DAD">
          <w:pPr>
            <w:pStyle w:val="Footer"/>
            <w:rPr>
              <w:i/>
              <w:color w:val="009EE3"/>
              <w:sz w:val="20"/>
              <w:szCs w:val="20"/>
            </w:rPr>
          </w:pPr>
          <w:r w:rsidRPr="007A7CB6">
            <w:rPr>
              <w:i/>
              <w:color w:val="009EE3"/>
              <w:sz w:val="20"/>
              <w:szCs w:val="20"/>
            </w:rPr>
            <w:t xml:space="preserve">Version </w:t>
          </w:r>
          <w:r w:rsidR="0062035D">
            <w:rPr>
              <w:i/>
              <w:color w:val="009EE3"/>
              <w:sz w:val="20"/>
              <w:szCs w:val="20"/>
            </w:rPr>
            <w:t>3</w:t>
          </w:r>
          <w:r>
            <w:rPr>
              <w:i/>
              <w:color w:val="009EE3"/>
              <w:sz w:val="20"/>
              <w:szCs w:val="20"/>
            </w:rPr>
            <w:t>.</w:t>
          </w:r>
          <w:r w:rsidR="00AC5DAD">
            <w:rPr>
              <w:i/>
              <w:color w:val="009EE3"/>
              <w:sz w:val="20"/>
              <w:szCs w:val="20"/>
            </w:rPr>
            <w:t>0</w:t>
          </w:r>
        </w:p>
      </w:tc>
      <w:tc>
        <w:tcPr>
          <w:tcW w:w="1667" w:type="pct"/>
        </w:tcPr>
        <w:p w:rsidR="00763073" w:rsidRPr="007A7CB6" w:rsidRDefault="00763073" w:rsidP="0069725C">
          <w:pPr>
            <w:pStyle w:val="Footer"/>
            <w:jc w:val="center"/>
            <w:rPr>
              <w:i/>
              <w:color w:val="009EE3"/>
              <w:sz w:val="20"/>
              <w:szCs w:val="20"/>
            </w:rPr>
          </w:pPr>
        </w:p>
      </w:tc>
      <w:tc>
        <w:tcPr>
          <w:tcW w:w="1667" w:type="pct"/>
        </w:tcPr>
        <w:p w:rsidR="00763073" w:rsidRPr="007A7CB6" w:rsidRDefault="00763073" w:rsidP="0069725C">
          <w:pPr>
            <w:pStyle w:val="Footer"/>
            <w:jc w:val="right"/>
            <w:rPr>
              <w:i/>
              <w:color w:val="009EE3"/>
              <w:sz w:val="20"/>
              <w:szCs w:val="20"/>
            </w:rPr>
          </w:pPr>
          <w:r w:rsidRPr="007A7CB6">
            <w:rPr>
              <w:i/>
              <w:color w:val="009EE3"/>
              <w:sz w:val="20"/>
              <w:szCs w:val="20"/>
            </w:rPr>
            <w:t xml:space="preserve">Page </w:t>
          </w:r>
          <w:r w:rsidRPr="007A7CB6">
            <w:rPr>
              <w:i/>
              <w:color w:val="009EE3"/>
              <w:sz w:val="20"/>
              <w:szCs w:val="20"/>
            </w:rPr>
            <w:fldChar w:fldCharType="begin"/>
          </w:r>
          <w:r w:rsidRPr="007A7CB6">
            <w:rPr>
              <w:i/>
              <w:color w:val="009EE3"/>
              <w:sz w:val="20"/>
              <w:szCs w:val="20"/>
            </w:rPr>
            <w:instrText xml:space="preserve"> PAGE   \* MERGEFORMAT </w:instrText>
          </w:r>
          <w:r w:rsidRPr="007A7CB6">
            <w:rPr>
              <w:i/>
              <w:color w:val="009EE3"/>
              <w:sz w:val="20"/>
              <w:szCs w:val="20"/>
            </w:rPr>
            <w:fldChar w:fldCharType="separate"/>
          </w:r>
          <w:r w:rsidR="008C239A" w:rsidRPr="008C239A">
            <w:rPr>
              <w:i/>
              <w:noProof/>
              <w:color w:val="009EE3"/>
              <w:sz w:val="20"/>
            </w:rPr>
            <w:t>6</w:t>
          </w:r>
          <w:r w:rsidRPr="007A7CB6">
            <w:rPr>
              <w:i/>
              <w:noProof/>
              <w:color w:val="009EE3"/>
              <w:sz w:val="20"/>
              <w:szCs w:val="20"/>
            </w:rPr>
            <w:fldChar w:fldCharType="end"/>
          </w:r>
        </w:p>
      </w:tc>
    </w:tr>
  </w:tbl>
  <w:p w:rsidR="00763073" w:rsidRDefault="0076307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AD" w:rsidRPr="00AC5DAD" w:rsidRDefault="00AC5DAD" w:rsidP="00AC5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81" w:rsidRDefault="00001C81" w:rsidP="00763073">
      <w:pPr>
        <w:spacing w:before="0" w:after="0"/>
      </w:pPr>
      <w:r>
        <w:separator/>
      </w:r>
    </w:p>
  </w:footnote>
  <w:footnote w:type="continuationSeparator" w:id="0">
    <w:p w:rsidR="00001C81" w:rsidRDefault="00001C81" w:rsidP="00763073">
      <w:pPr>
        <w:spacing w:before="0" w:after="0"/>
      </w:pPr>
      <w:r>
        <w:continuationSeparator/>
      </w:r>
    </w:p>
  </w:footnote>
  <w:footnote w:id="1">
    <w:p w:rsidR="000117F9" w:rsidRDefault="000117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anchor="/41125520" w:history="1">
        <w:r w:rsidRPr="008D7A47">
          <w:rPr>
            <w:rStyle w:val="Hyperlink"/>
          </w:rPr>
          <w:t>https://decc.huddle.net/workspace/34269213/files/#/41125520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90" w:rsidRDefault="004F53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27" w:rsidRDefault="003D4321" w:rsidP="007A7CB6">
    <w:pPr>
      <w:pStyle w:val="Header"/>
      <w:jc w:val="lef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12BFFF4" wp14:editId="000707DD">
          <wp:simplePos x="0" y="0"/>
          <wp:positionH relativeFrom="column">
            <wp:posOffset>-907415</wp:posOffset>
          </wp:positionH>
          <wp:positionV relativeFrom="paragraph">
            <wp:posOffset>-410495</wp:posOffset>
          </wp:positionV>
          <wp:extent cx="7560310" cy="10680065"/>
          <wp:effectExtent l="0" t="0" r="0" b="0"/>
          <wp:wrapNone/>
          <wp:docPr id="7" name="Picture 7" descr="Decc-graphic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cc-graphic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lang w:eastAsia="en-GB"/>
      </w:rPr>
      <w:drawing>
        <wp:inline distT="0" distB="0" distL="0" distR="0" wp14:anchorId="28C5630E" wp14:editId="3775EBA7">
          <wp:extent cx="1657350" cy="876300"/>
          <wp:effectExtent l="0" t="0" r="0" b="0"/>
          <wp:docPr id="8" name="Picture 8" descr="Dept for Business, Energy and Industrial Strat_294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t for Business, Energy and Industrial Strat_294_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90" w:rsidRDefault="004F539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8" w:space="0" w:color="009EE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79"/>
      <w:gridCol w:w="5466"/>
    </w:tblGrid>
    <w:tr w:rsidR="00763073" w:rsidRPr="007A7CB6" w:rsidTr="0069725C">
      <w:trPr>
        <w:trHeight w:val="433"/>
      </w:trPr>
      <w:tc>
        <w:tcPr>
          <w:tcW w:w="1838" w:type="pct"/>
        </w:tcPr>
        <w:p w:rsidR="00763073" w:rsidRDefault="00763073" w:rsidP="0069725C">
          <w:pPr>
            <w:pStyle w:val="Header"/>
            <w:jc w:val="left"/>
          </w:pPr>
          <w:r>
            <w:t xml:space="preserve">DRAFT </w:t>
          </w:r>
        </w:p>
      </w:tc>
      <w:tc>
        <w:tcPr>
          <w:tcW w:w="205" w:type="pct"/>
        </w:tcPr>
        <w:p w:rsidR="00763073" w:rsidRDefault="00763073" w:rsidP="0069725C">
          <w:pPr>
            <w:pStyle w:val="Header"/>
          </w:pPr>
        </w:p>
      </w:tc>
      <w:tc>
        <w:tcPr>
          <w:tcW w:w="2957" w:type="pct"/>
        </w:tcPr>
        <w:p w:rsidR="00763073" w:rsidRPr="007A7CB6" w:rsidRDefault="0062035D" w:rsidP="0069725C">
          <w:pPr>
            <w:pStyle w:val="Header"/>
          </w:pPr>
          <w:r>
            <w:t>SMETS</w:t>
          </w:r>
          <w:r w:rsidR="00763073">
            <w:t xml:space="preserve"> Release Note</w:t>
          </w:r>
        </w:p>
      </w:tc>
    </w:tr>
  </w:tbl>
  <w:p w:rsidR="00763073" w:rsidRDefault="00763073" w:rsidP="00763073">
    <w:pPr>
      <w:pStyle w:val="Header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AD" w:rsidRPr="00AC5DAD" w:rsidRDefault="00AC5DAD" w:rsidP="00AC5DAD">
    <w:pPr>
      <w:pStyle w:val="Header"/>
      <w:jc w:val="left"/>
      <w:rPr>
        <w:i w:val="0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E20543A" wp14:editId="294BFE21">
          <wp:simplePos x="0" y="0"/>
          <wp:positionH relativeFrom="column">
            <wp:posOffset>-855345</wp:posOffset>
          </wp:positionH>
          <wp:positionV relativeFrom="paragraph">
            <wp:posOffset>-271780</wp:posOffset>
          </wp:positionV>
          <wp:extent cx="7560310" cy="10680065"/>
          <wp:effectExtent l="0" t="0" r="2540" b="6985"/>
          <wp:wrapNone/>
          <wp:docPr id="324" name="Picture 324" descr="Decc-graphic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cc-graphic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482"/>
    <w:multiLevelType w:val="hybridMultilevel"/>
    <w:tmpl w:val="BB2CF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174DB4"/>
    <w:multiLevelType w:val="hybridMultilevel"/>
    <w:tmpl w:val="962A4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74AEF"/>
    <w:multiLevelType w:val="hybridMultilevel"/>
    <w:tmpl w:val="D720A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66277D"/>
    <w:multiLevelType w:val="hybridMultilevel"/>
    <w:tmpl w:val="45F05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504528"/>
    <w:multiLevelType w:val="hybridMultilevel"/>
    <w:tmpl w:val="B75CF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FC5825"/>
    <w:multiLevelType w:val="hybridMultilevel"/>
    <w:tmpl w:val="8B0A8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A413E8"/>
    <w:multiLevelType w:val="hybridMultilevel"/>
    <w:tmpl w:val="A14C7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3E7139"/>
    <w:multiLevelType w:val="hybridMultilevel"/>
    <w:tmpl w:val="CAF01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1E203C"/>
    <w:multiLevelType w:val="hybridMultilevel"/>
    <w:tmpl w:val="9444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DF3FB2"/>
    <w:multiLevelType w:val="hybridMultilevel"/>
    <w:tmpl w:val="0EAAE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1F6B3A"/>
    <w:multiLevelType w:val="multilevel"/>
    <w:tmpl w:val="0ABC4FE8"/>
    <w:name w:val="ded29222323232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istParagraph"/>
      <w:lvlText w:val="%2"/>
      <w:lvlJc w:val="left"/>
      <w:pPr>
        <w:tabs>
          <w:tab w:val="num" w:pos="2978"/>
        </w:tabs>
        <w:ind w:left="297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11">
    <w:nsid w:val="51086125"/>
    <w:multiLevelType w:val="hybridMultilevel"/>
    <w:tmpl w:val="27F68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B332A7"/>
    <w:multiLevelType w:val="hybridMultilevel"/>
    <w:tmpl w:val="C31A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E1059D"/>
    <w:multiLevelType w:val="hybridMultilevel"/>
    <w:tmpl w:val="2D822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4E6A27"/>
    <w:multiLevelType w:val="hybridMultilevel"/>
    <w:tmpl w:val="714CE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1A5F07"/>
    <w:multiLevelType w:val="multilevel"/>
    <w:tmpl w:val="33FE28A4"/>
    <w:lvl w:ilvl="0">
      <w:start w:val="1"/>
      <w:numFmt w:val="bullet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bullet"/>
      <w:pStyle w:val="Listsub-bullet"/>
      <w:lvlText w:val="o"/>
      <w:lvlJc w:val="left"/>
      <w:pPr>
        <w:tabs>
          <w:tab w:val="num" w:pos="2126"/>
        </w:tabs>
        <w:ind w:left="2126" w:hanging="709"/>
      </w:pPr>
      <w:rPr>
        <w:rFonts w:ascii="Courier New" w:hAnsi="Courier New" w:cs="Courier New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16">
    <w:nsid w:val="67253291"/>
    <w:multiLevelType w:val="hybridMultilevel"/>
    <w:tmpl w:val="4D7A9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B84A6D"/>
    <w:multiLevelType w:val="hybridMultilevel"/>
    <w:tmpl w:val="E3888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4945AF"/>
    <w:multiLevelType w:val="hybridMultilevel"/>
    <w:tmpl w:val="11B2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05711"/>
    <w:multiLevelType w:val="hybridMultilevel"/>
    <w:tmpl w:val="DD06D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3C5FA1"/>
    <w:multiLevelType w:val="hybridMultilevel"/>
    <w:tmpl w:val="2F982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4C3444"/>
    <w:multiLevelType w:val="hybridMultilevel"/>
    <w:tmpl w:val="57BE9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"/>
  </w:num>
  <w:num w:numId="5">
    <w:abstractNumId w:val="2"/>
  </w:num>
  <w:num w:numId="6">
    <w:abstractNumId w:val="17"/>
  </w:num>
  <w:num w:numId="7">
    <w:abstractNumId w:val="6"/>
  </w:num>
  <w:num w:numId="8">
    <w:abstractNumId w:val="0"/>
  </w:num>
  <w:num w:numId="9">
    <w:abstractNumId w:val="3"/>
  </w:num>
  <w:num w:numId="10">
    <w:abstractNumId w:val="11"/>
  </w:num>
  <w:num w:numId="11">
    <w:abstractNumId w:val="4"/>
  </w:num>
  <w:num w:numId="12">
    <w:abstractNumId w:val="8"/>
  </w:num>
  <w:num w:numId="13">
    <w:abstractNumId w:val="21"/>
  </w:num>
  <w:num w:numId="14">
    <w:abstractNumId w:val="16"/>
  </w:num>
  <w:num w:numId="15">
    <w:abstractNumId w:val="18"/>
  </w:num>
  <w:num w:numId="16">
    <w:abstractNumId w:val="20"/>
  </w:num>
  <w:num w:numId="17">
    <w:abstractNumId w:val="13"/>
  </w:num>
  <w:num w:numId="18">
    <w:abstractNumId w:val="12"/>
  </w:num>
  <w:num w:numId="19">
    <w:abstractNumId w:val="5"/>
  </w:num>
  <w:num w:numId="20">
    <w:abstractNumId w:val="9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73"/>
    <w:rsid w:val="00000DEB"/>
    <w:rsid w:val="00001C81"/>
    <w:rsid w:val="000117F9"/>
    <w:rsid w:val="00021457"/>
    <w:rsid w:val="00042CA8"/>
    <w:rsid w:val="00056024"/>
    <w:rsid w:val="000A314E"/>
    <w:rsid w:val="000B2153"/>
    <w:rsid w:val="000B48E4"/>
    <w:rsid w:val="000E4AB3"/>
    <w:rsid w:val="00136FB2"/>
    <w:rsid w:val="00161B61"/>
    <w:rsid w:val="00183C18"/>
    <w:rsid w:val="001A0D6D"/>
    <w:rsid w:val="001B24AB"/>
    <w:rsid w:val="001B48AC"/>
    <w:rsid w:val="00253B56"/>
    <w:rsid w:val="00277F34"/>
    <w:rsid w:val="002825A9"/>
    <w:rsid w:val="002A7B67"/>
    <w:rsid w:val="002B29A1"/>
    <w:rsid w:val="002D315F"/>
    <w:rsid w:val="002D3C55"/>
    <w:rsid w:val="002F400A"/>
    <w:rsid w:val="00320DCA"/>
    <w:rsid w:val="00341406"/>
    <w:rsid w:val="003439D0"/>
    <w:rsid w:val="00355949"/>
    <w:rsid w:val="00396F64"/>
    <w:rsid w:val="003D4321"/>
    <w:rsid w:val="004142FD"/>
    <w:rsid w:val="00416DAF"/>
    <w:rsid w:val="004207AC"/>
    <w:rsid w:val="00441C09"/>
    <w:rsid w:val="00444048"/>
    <w:rsid w:val="00464026"/>
    <w:rsid w:val="00493DE7"/>
    <w:rsid w:val="004A469F"/>
    <w:rsid w:val="004D1B6D"/>
    <w:rsid w:val="004F5390"/>
    <w:rsid w:val="004F71A4"/>
    <w:rsid w:val="0053553B"/>
    <w:rsid w:val="00570026"/>
    <w:rsid w:val="00574E7E"/>
    <w:rsid w:val="005A4C22"/>
    <w:rsid w:val="005B6F6D"/>
    <w:rsid w:val="005D4E31"/>
    <w:rsid w:val="005D76C3"/>
    <w:rsid w:val="0062035D"/>
    <w:rsid w:val="00633BDA"/>
    <w:rsid w:val="006B6B4D"/>
    <w:rsid w:val="00754869"/>
    <w:rsid w:val="00763073"/>
    <w:rsid w:val="007704A4"/>
    <w:rsid w:val="00795782"/>
    <w:rsid w:val="007F7272"/>
    <w:rsid w:val="00874F3F"/>
    <w:rsid w:val="008C239A"/>
    <w:rsid w:val="008C7083"/>
    <w:rsid w:val="008E3271"/>
    <w:rsid w:val="008F51B4"/>
    <w:rsid w:val="00904B26"/>
    <w:rsid w:val="00983488"/>
    <w:rsid w:val="009953ED"/>
    <w:rsid w:val="009E0496"/>
    <w:rsid w:val="00A2335C"/>
    <w:rsid w:val="00A42B92"/>
    <w:rsid w:val="00A62D56"/>
    <w:rsid w:val="00A711A2"/>
    <w:rsid w:val="00A85031"/>
    <w:rsid w:val="00A94ED9"/>
    <w:rsid w:val="00AC046C"/>
    <w:rsid w:val="00AC5DAD"/>
    <w:rsid w:val="00AE4E77"/>
    <w:rsid w:val="00B056F7"/>
    <w:rsid w:val="00B30339"/>
    <w:rsid w:val="00B34F72"/>
    <w:rsid w:val="00B4713E"/>
    <w:rsid w:val="00B852E2"/>
    <w:rsid w:val="00B97370"/>
    <w:rsid w:val="00BC13D3"/>
    <w:rsid w:val="00BC1AE7"/>
    <w:rsid w:val="00BD1788"/>
    <w:rsid w:val="00C008E1"/>
    <w:rsid w:val="00C21647"/>
    <w:rsid w:val="00C302FF"/>
    <w:rsid w:val="00CB415E"/>
    <w:rsid w:val="00CC623E"/>
    <w:rsid w:val="00CC7154"/>
    <w:rsid w:val="00CD47BF"/>
    <w:rsid w:val="00D14ABD"/>
    <w:rsid w:val="00D24260"/>
    <w:rsid w:val="00D303ED"/>
    <w:rsid w:val="00D57A5D"/>
    <w:rsid w:val="00D637A1"/>
    <w:rsid w:val="00D71CA5"/>
    <w:rsid w:val="00D84787"/>
    <w:rsid w:val="00D931B1"/>
    <w:rsid w:val="00DB4122"/>
    <w:rsid w:val="00DC21B7"/>
    <w:rsid w:val="00DD024E"/>
    <w:rsid w:val="00DD4E9E"/>
    <w:rsid w:val="00E0448A"/>
    <w:rsid w:val="00E11459"/>
    <w:rsid w:val="00E52E08"/>
    <w:rsid w:val="00EB7CFC"/>
    <w:rsid w:val="00EC7133"/>
    <w:rsid w:val="00ED3566"/>
    <w:rsid w:val="00EE49C6"/>
    <w:rsid w:val="00F05BC1"/>
    <w:rsid w:val="00F4399B"/>
    <w:rsid w:val="00F5427C"/>
    <w:rsid w:val="00FB3EBF"/>
    <w:rsid w:val="00FB7B88"/>
    <w:rsid w:val="00FC0A6E"/>
    <w:rsid w:val="00FE029F"/>
    <w:rsid w:val="00F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73"/>
    <w:pPr>
      <w:spacing w:before="120" w:after="120" w:line="240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30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,Dot pt,No Spacing1,List Paragraph Char Char Char,Indicator Text,Numbered Para 1,List Paragraph1,Bullet 1,Bullet Points,MAIN CONTENT,List Paragraph12,List Para"/>
    <w:basedOn w:val="Normal"/>
    <w:link w:val="ListParagraphChar"/>
    <w:uiPriority w:val="34"/>
    <w:qFormat/>
    <w:rsid w:val="00763073"/>
    <w:pPr>
      <w:numPr>
        <w:ilvl w:val="1"/>
        <w:numId w:val="1"/>
      </w:numPr>
      <w:autoSpaceDE w:val="0"/>
      <w:autoSpaceDN w:val="0"/>
      <w:adjustRightInd w:val="0"/>
    </w:pPr>
    <w:rPr>
      <w:rFonts w:eastAsia="Calibri"/>
      <w:lang w:eastAsia="en-GB"/>
    </w:rPr>
  </w:style>
  <w:style w:type="character" w:customStyle="1" w:styleId="ListParagraphChar">
    <w:name w:val="List Paragraph Char"/>
    <w:aliases w:val="List para Char,Dot pt Char,No Spacing1 Char,List Paragraph Char Char Char Char,Indicator Text Char,Numbered Para 1 Char,List Paragraph1 Char,Bullet 1 Char,Bullet Points Char,MAIN CONTENT Char,List Paragraph12 Char,List Para Char"/>
    <w:basedOn w:val="DefaultParagraphFont"/>
    <w:link w:val="ListParagraph"/>
    <w:uiPriority w:val="34"/>
    <w:qFormat/>
    <w:locked/>
    <w:rsid w:val="00763073"/>
    <w:rPr>
      <w:rFonts w:eastAsia="Calibri"/>
      <w:color w:val="000000"/>
      <w:sz w:val="22"/>
      <w:lang w:eastAsia="en-GB"/>
    </w:rPr>
  </w:style>
  <w:style w:type="paragraph" w:styleId="ListBullet">
    <w:name w:val="List Bullet"/>
    <w:basedOn w:val="Normal"/>
    <w:unhideWhenUsed/>
    <w:qFormat/>
    <w:rsid w:val="00763073"/>
    <w:pPr>
      <w:numPr>
        <w:numId w:val="2"/>
      </w:numPr>
    </w:pPr>
    <w:rPr>
      <w:rFonts w:eastAsia="Times New Roman"/>
      <w:lang w:eastAsia="en-GB"/>
    </w:rPr>
  </w:style>
  <w:style w:type="paragraph" w:styleId="NoSpacing">
    <w:name w:val="No Spacing"/>
    <w:link w:val="NoSpacingChar"/>
    <w:uiPriority w:val="1"/>
    <w:qFormat/>
    <w:rsid w:val="00763073"/>
    <w:pPr>
      <w:spacing w:after="0" w:line="240" w:lineRule="auto"/>
    </w:pPr>
    <w:rPr>
      <w:rFonts w:eastAsia="Times New Roman"/>
      <w:color w:val="000000"/>
      <w:sz w:val="22"/>
      <w:lang w:eastAsia="en-GB"/>
    </w:rPr>
  </w:style>
  <w:style w:type="table" w:styleId="TableGrid">
    <w:name w:val="Table Grid"/>
    <w:basedOn w:val="TableNormal"/>
    <w:uiPriority w:val="59"/>
    <w:rsid w:val="00763073"/>
    <w:pPr>
      <w:spacing w:after="0" w:line="240" w:lineRule="auto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onum">
    <w:name w:val="Heading 1 no num"/>
    <w:basedOn w:val="Heading1"/>
    <w:next w:val="ListParagraph"/>
    <w:qFormat/>
    <w:rsid w:val="00763073"/>
    <w:pPr>
      <w:keepLines w:val="0"/>
      <w:pageBreakBefore/>
      <w:spacing w:before="0" w:after="120"/>
    </w:pPr>
    <w:rPr>
      <w:rFonts w:ascii="Arial Bold" w:eastAsia="Times New Roman" w:hAnsi="Arial Bold" w:cs="Arial"/>
      <w:color w:val="009EE3"/>
      <w:kern w:val="32"/>
      <w:sz w:val="48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63073"/>
    <w:pPr>
      <w:tabs>
        <w:tab w:val="center" w:pos="4513"/>
        <w:tab w:val="right" w:pos="9026"/>
      </w:tabs>
      <w:spacing w:before="0"/>
      <w:jc w:val="right"/>
    </w:pPr>
    <w:rPr>
      <w:i/>
      <w:color w:val="009EE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63073"/>
    <w:rPr>
      <w:i/>
      <w:color w:val="009EE3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307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3073"/>
    <w:rPr>
      <w:color w:val="000000"/>
      <w:sz w:val="22"/>
    </w:rPr>
  </w:style>
  <w:style w:type="paragraph" w:customStyle="1" w:styleId="Tabletext">
    <w:name w:val="Table text"/>
    <w:basedOn w:val="Normal"/>
    <w:qFormat/>
    <w:rsid w:val="00763073"/>
    <w:pPr>
      <w:spacing w:before="60" w:after="60"/>
    </w:pPr>
    <w:rPr>
      <w:sz w:val="20"/>
      <w:szCs w:val="20"/>
    </w:rPr>
  </w:style>
  <w:style w:type="paragraph" w:customStyle="1" w:styleId="Listsub-bullet">
    <w:name w:val="List sub-bullet"/>
    <w:basedOn w:val="ListBullet"/>
    <w:qFormat/>
    <w:rsid w:val="00763073"/>
    <w:pPr>
      <w:numPr>
        <w:ilvl w:val="3"/>
      </w:numPr>
      <w:tabs>
        <w:tab w:val="clear" w:pos="2126"/>
        <w:tab w:val="num" w:pos="993"/>
      </w:tabs>
      <w:ind w:left="993" w:hanging="567"/>
    </w:pPr>
  </w:style>
  <w:style w:type="paragraph" w:customStyle="1" w:styleId="TableHeader">
    <w:name w:val="Table Header"/>
    <w:basedOn w:val="Normal"/>
    <w:qFormat/>
    <w:rsid w:val="00763073"/>
    <w:pPr>
      <w:framePr w:hSpace="180" w:wrap="around" w:vAnchor="text" w:hAnchor="margin" w:y="63"/>
      <w:spacing w:before="0" w:after="0"/>
    </w:pPr>
    <w:rPr>
      <w:color w:val="auto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763073"/>
    <w:pPr>
      <w:spacing w:after="240" w:line="840" w:lineRule="exact"/>
      <w:outlineLvl w:val="0"/>
    </w:pPr>
    <w:rPr>
      <w:rFonts w:eastAsia="Times New Roman"/>
      <w:color w:val="00AEEF"/>
      <w:sz w:val="7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63073"/>
    <w:rPr>
      <w:rFonts w:eastAsia="Times New Roman"/>
      <w:color w:val="00AEEF"/>
      <w:sz w:val="76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63073"/>
    <w:rPr>
      <w:rFonts w:eastAsia="Times New Roman"/>
      <w:color w:val="000000"/>
      <w:sz w:val="22"/>
      <w:lang w:eastAsia="en-GB"/>
    </w:rPr>
  </w:style>
  <w:style w:type="paragraph" w:customStyle="1" w:styleId="Head4nonum">
    <w:name w:val="Head 4 nonum"/>
    <w:basedOn w:val="Heading4"/>
    <w:next w:val="Normal"/>
    <w:qFormat/>
    <w:rsid w:val="00763073"/>
    <w:pPr>
      <w:spacing w:before="120" w:after="120"/>
    </w:pPr>
    <w:rPr>
      <w:rFonts w:ascii="Arial Bold" w:hAnsi="Arial Bold" w:cs="Arial"/>
      <w:noProof/>
      <w:color w:val="009EE3"/>
    </w:rPr>
  </w:style>
  <w:style w:type="paragraph" w:customStyle="1" w:styleId="HeadNoTOC">
    <w:name w:val="Head No TOC"/>
    <w:basedOn w:val="Heading1nonum"/>
    <w:qFormat/>
    <w:rsid w:val="00763073"/>
    <w:pPr>
      <w:pageBreakBefore w:val="0"/>
      <w:tabs>
        <w:tab w:val="left" w:pos="110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763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307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0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73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D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17F9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17F9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17F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4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B26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B26"/>
    <w:rPr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33B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73"/>
    <w:pPr>
      <w:spacing w:before="120" w:after="120" w:line="240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30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,Dot pt,No Spacing1,List Paragraph Char Char Char,Indicator Text,Numbered Para 1,List Paragraph1,Bullet 1,Bullet Points,MAIN CONTENT,List Paragraph12,List Para"/>
    <w:basedOn w:val="Normal"/>
    <w:link w:val="ListParagraphChar"/>
    <w:uiPriority w:val="34"/>
    <w:qFormat/>
    <w:rsid w:val="00763073"/>
    <w:pPr>
      <w:numPr>
        <w:ilvl w:val="1"/>
        <w:numId w:val="1"/>
      </w:numPr>
      <w:autoSpaceDE w:val="0"/>
      <w:autoSpaceDN w:val="0"/>
      <w:adjustRightInd w:val="0"/>
    </w:pPr>
    <w:rPr>
      <w:rFonts w:eastAsia="Calibri"/>
      <w:lang w:eastAsia="en-GB"/>
    </w:rPr>
  </w:style>
  <w:style w:type="character" w:customStyle="1" w:styleId="ListParagraphChar">
    <w:name w:val="List Paragraph Char"/>
    <w:aliases w:val="List para Char,Dot pt Char,No Spacing1 Char,List Paragraph Char Char Char Char,Indicator Text Char,Numbered Para 1 Char,List Paragraph1 Char,Bullet 1 Char,Bullet Points Char,MAIN CONTENT Char,List Paragraph12 Char,List Para Char"/>
    <w:basedOn w:val="DefaultParagraphFont"/>
    <w:link w:val="ListParagraph"/>
    <w:uiPriority w:val="34"/>
    <w:qFormat/>
    <w:locked/>
    <w:rsid w:val="00763073"/>
    <w:rPr>
      <w:rFonts w:eastAsia="Calibri"/>
      <w:color w:val="000000"/>
      <w:sz w:val="22"/>
      <w:lang w:eastAsia="en-GB"/>
    </w:rPr>
  </w:style>
  <w:style w:type="paragraph" w:styleId="ListBullet">
    <w:name w:val="List Bullet"/>
    <w:basedOn w:val="Normal"/>
    <w:unhideWhenUsed/>
    <w:qFormat/>
    <w:rsid w:val="00763073"/>
    <w:pPr>
      <w:numPr>
        <w:numId w:val="2"/>
      </w:numPr>
    </w:pPr>
    <w:rPr>
      <w:rFonts w:eastAsia="Times New Roman"/>
      <w:lang w:eastAsia="en-GB"/>
    </w:rPr>
  </w:style>
  <w:style w:type="paragraph" w:styleId="NoSpacing">
    <w:name w:val="No Spacing"/>
    <w:link w:val="NoSpacingChar"/>
    <w:uiPriority w:val="1"/>
    <w:qFormat/>
    <w:rsid w:val="00763073"/>
    <w:pPr>
      <w:spacing w:after="0" w:line="240" w:lineRule="auto"/>
    </w:pPr>
    <w:rPr>
      <w:rFonts w:eastAsia="Times New Roman"/>
      <w:color w:val="000000"/>
      <w:sz w:val="22"/>
      <w:lang w:eastAsia="en-GB"/>
    </w:rPr>
  </w:style>
  <w:style w:type="table" w:styleId="TableGrid">
    <w:name w:val="Table Grid"/>
    <w:basedOn w:val="TableNormal"/>
    <w:uiPriority w:val="59"/>
    <w:rsid w:val="00763073"/>
    <w:pPr>
      <w:spacing w:after="0" w:line="240" w:lineRule="auto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onum">
    <w:name w:val="Heading 1 no num"/>
    <w:basedOn w:val="Heading1"/>
    <w:next w:val="ListParagraph"/>
    <w:qFormat/>
    <w:rsid w:val="00763073"/>
    <w:pPr>
      <w:keepLines w:val="0"/>
      <w:pageBreakBefore/>
      <w:spacing w:before="0" w:after="120"/>
    </w:pPr>
    <w:rPr>
      <w:rFonts w:ascii="Arial Bold" w:eastAsia="Times New Roman" w:hAnsi="Arial Bold" w:cs="Arial"/>
      <w:color w:val="009EE3"/>
      <w:kern w:val="32"/>
      <w:sz w:val="48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63073"/>
    <w:pPr>
      <w:tabs>
        <w:tab w:val="center" w:pos="4513"/>
        <w:tab w:val="right" w:pos="9026"/>
      </w:tabs>
      <w:spacing w:before="0"/>
      <w:jc w:val="right"/>
    </w:pPr>
    <w:rPr>
      <w:i/>
      <w:color w:val="009EE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63073"/>
    <w:rPr>
      <w:i/>
      <w:color w:val="009EE3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307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3073"/>
    <w:rPr>
      <w:color w:val="000000"/>
      <w:sz w:val="22"/>
    </w:rPr>
  </w:style>
  <w:style w:type="paragraph" w:customStyle="1" w:styleId="Tabletext">
    <w:name w:val="Table text"/>
    <w:basedOn w:val="Normal"/>
    <w:qFormat/>
    <w:rsid w:val="00763073"/>
    <w:pPr>
      <w:spacing w:before="60" w:after="60"/>
    </w:pPr>
    <w:rPr>
      <w:sz w:val="20"/>
      <w:szCs w:val="20"/>
    </w:rPr>
  </w:style>
  <w:style w:type="paragraph" w:customStyle="1" w:styleId="Listsub-bullet">
    <w:name w:val="List sub-bullet"/>
    <w:basedOn w:val="ListBullet"/>
    <w:qFormat/>
    <w:rsid w:val="00763073"/>
    <w:pPr>
      <w:numPr>
        <w:ilvl w:val="3"/>
      </w:numPr>
      <w:tabs>
        <w:tab w:val="clear" w:pos="2126"/>
        <w:tab w:val="num" w:pos="993"/>
      </w:tabs>
      <w:ind w:left="993" w:hanging="567"/>
    </w:pPr>
  </w:style>
  <w:style w:type="paragraph" w:customStyle="1" w:styleId="TableHeader">
    <w:name w:val="Table Header"/>
    <w:basedOn w:val="Normal"/>
    <w:qFormat/>
    <w:rsid w:val="00763073"/>
    <w:pPr>
      <w:framePr w:hSpace="180" w:wrap="around" w:vAnchor="text" w:hAnchor="margin" w:y="63"/>
      <w:spacing w:before="0" w:after="0"/>
    </w:pPr>
    <w:rPr>
      <w:color w:val="auto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763073"/>
    <w:pPr>
      <w:spacing w:after="240" w:line="840" w:lineRule="exact"/>
      <w:outlineLvl w:val="0"/>
    </w:pPr>
    <w:rPr>
      <w:rFonts w:eastAsia="Times New Roman"/>
      <w:color w:val="00AEEF"/>
      <w:sz w:val="7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63073"/>
    <w:rPr>
      <w:rFonts w:eastAsia="Times New Roman"/>
      <w:color w:val="00AEEF"/>
      <w:sz w:val="76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63073"/>
    <w:rPr>
      <w:rFonts w:eastAsia="Times New Roman"/>
      <w:color w:val="000000"/>
      <w:sz w:val="22"/>
      <w:lang w:eastAsia="en-GB"/>
    </w:rPr>
  </w:style>
  <w:style w:type="paragraph" w:customStyle="1" w:styleId="Head4nonum">
    <w:name w:val="Head 4 nonum"/>
    <w:basedOn w:val="Heading4"/>
    <w:next w:val="Normal"/>
    <w:qFormat/>
    <w:rsid w:val="00763073"/>
    <w:pPr>
      <w:spacing w:before="120" w:after="120"/>
    </w:pPr>
    <w:rPr>
      <w:rFonts w:ascii="Arial Bold" w:hAnsi="Arial Bold" w:cs="Arial"/>
      <w:noProof/>
      <w:color w:val="009EE3"/>
    </w:rPr>
  </w:style>
  <w:style w:type="paragraph" w:customStyle="1" w:styleId="HeadNoTOC">
    <w:name w:val="Head No TOC"/>
    <w:basedOn w:val="Heading1nonum"/>
    <w:qFormat/>
    <w:rsid w:val="00763073"/>
    <w:pPr>
      <w:pageBreakBefore w:val="0"/>
      <w:tabs>
        <w:tab w:val="left" w:pos="110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763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307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0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73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D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17F9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17F9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17F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4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B26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B26"/>
    <w:rPr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33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gov.uk/bei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cc.huddle.net/workspace/34269213/file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A00C-909D-488C-A858-8C26114A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2017-10-23T10:18:00Z</dcterms:created>
  <dcterms:modified xsi:type="dcterms:W3CDTF">2017-12-13T18:22:00Z</dcterms:modified>
</cp:coreProperties>
</file>