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4853B" w14:textId="12D65288" w:rsidR="00414A08" w:rsidRDefault="00897C69" w:rsidP="00DB0807">
      <w:pPr>
        <w:rPr>
          <w:b/>
          <w:color w:val="007C31"/>
          <w:sz w:val="48"/>
          <w:szCs w:val="48"/>
        </w:rPr>
      </w:pPr>
      <w:r w:rsidRPr="003359BB">
        <w:rPr>
          <w:noProof/>
          <w:lang w:eastAsia="en-GB"/>
        </w:rPr>
        <mc:AlternateContent>
          <mc:Choice Requires="wps">
            <w:drawing>
              <wp:anchor distT="45720" distB="45720" distL="114300" distR="114300" simplePos="0" relativeHeight="251670528" behindDoc="0" locked="0" layoutInCell="1" allowOverlap="1" wp14:anchorId="5DAAB11E" wp14:editId="7859A822">
                <wp:simplePos x="0" y="0"/>
                <wp:positionH relativeFrom="margin">
                  <wp:posOffset>22860</wp:posOffset>
                </wp:positionH>
                <wp:positionV relativeFrom="paragraph">
                  <wp:posOffset>0</wp:posOffset>
                </wp:positionV>
                <wp:extent cx="5770880" cy="419100"/>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33B164D4" w14:textId="77777777" w:rsidR="004C566F" w:rsidRPr="001606E0" w:rsidRDefault="004C566F"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AB11E"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33B164D4" w14:textId="77777777" w:rsidR="004C566F" w:rsidRPr="001606E0" w:rsidRDefault="004C566F"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D807BF" w:rsidRPr="003359BB">
        <w:rPr>
          <w:b/>
          <w:color w:val="007C31"/>
          <w:sz w:val="48"/>
          <w:szCs w:val="48"/>
        </w:rPr>
        <w:t>MP</w:t>
      </w:r>
      <w:r w:rsidR="000C2583">
        <w:rPr>
          <w:b/>
          <w:color w:val="007C31"/>
          <w:sz w:val="48"/>
          <w:szCs w:val="48"/>
        </w:rPr>
        <w:t>085</w:t>
      </w:r>
      <w:r w:rsidR="00D807BF">
        <w:rPr>
          <w:b/>
          <w:color w:val="007C31"/>
          <w:sz w:val="48"/>
          <w:szCs w:val="48"/>
        </w:rPr>
        <w:t xml:space="preserve"> ‘</w:t>
      </w:r>
      <w:r w:rsidR="000C2583">
        <w:rPr>
          <w:b/>
          <w:color w:val="007C31"/>
          <w:sz w:val="48"/>
          <w:szCs w:val="48"/>
        </w:rPr>
        <w:t>Synchronisation of smart meter voltage measurement periods</w:t>
      </w:r>
      <w:r w:rsidR="00D807BF">
        <w:rPr>
          <w:b/>
          <w:color w:val="007C31"/>
          <w:sz w:val="48"/>
          <w:szCs w:val="48"/>
        </w:rPr>
        <w:t>’</w:t>
      </w:r>
    </w:p>
    <w:p w14:paraId="6188106F" w14:textId="3D1AA13E" w:rsidR="00D807BF" w:rsidRPr="00C30802" w:rsidRDefault="00900F50" w:rsidP="00DB0807">
      <w:pPr>
        <w:rPr>
          <w:b/>
          <w:color w:val="007C31"/>
          <w:sz w:val="48"/>
          <w:szCs w:val="48"/>
        </w:rPr>
      </w:pPr>
      <w:r>
        <w:rPr>
          <w:b/>
          <w:color w:val="007C31"/>
          <w:sz w:val="48"/>
          <w:szCs w:val="48"/>
        </w:rPr>
        <w:t xml:space="preserve">Business </w:t>
      </w:r>
      <w:r w:rsidR="003359BB">
        <w:rPr>
          <w:b/>
          <w:color w:val="007C31"/>
          <w:sz w:val="48"/>
          <w:szCs w:val="48"/>
        </w:rPr>
        <w:t>r</w:t>
      </w:r>
      <w:r>
        <w:rPr>
          <w:b/>
          <w:color w:val="007C31"/>
          <w:sz w:val="48"/>
          <w:szCs w:val="48"/>
        </w:rPr>
        <w:t>equirements</w:t>
      </w:r>
      <w:r w:rsidR="00BA069E">
        <w:rPr>
          <w:b/>
          <w:color w:val="007C31"/>
          <w:sz w:val="48"/>
          <w:szCs w:val="48"/>
        </w:rPr>
        <w:t xml:space="preserve"> – version </w:t>
      </w:r>
      <w:r w:rsidR="000C2583">
        <w:rPr>
          <w:b/>
          <w:color w:val="007C31"/>
          <w:sz w:val="48"/>
          <w:szCs w:val="48"/>
        </w:rPr>
        <w:t>0.</w:t>
      </w:r>
      <w:r w:rsidR="004C735C">
        <w:rPr>
          <w:b/>
          <w:color w:val="007C31"/>
          <w:sz w:val="48"/>
          <w:szCs w:val="48"/>
        </w:rPr>
        <w:t>3</w:t>
      </w:r>
    </w:p>
    <w:p w14:paraId="3BEB50A9" w14:textId="77777777" w:rsidR="00D807BF" w:rsidRDefault="00D807BF" w:rsidP="00D807BF">
      <w:pPr>
        <w:pStyle w:val="Subtitle"/>
      </w:pPr>
      <w:r>
        <w:t>About this document</w:t>
      </w:r>
    </w:p>
    <w:p w14:paraId="4D82312B" w14:textId="3AB1108C" w:rsidR="00016A62" w:rsidRDefault="00016A62" w:rsidP="00016A62">
      <w:r w:rsidRPr="00793414">
        <w:t xml:space="preserve">This document </w:t>
      </w:r>
      <w:r>
        <w:t>contains</w:t>
      </w:r>
      <w:r w:rsidRPr="00793414">
        <w:t xml:space="preserve"> the </w:t>
      </w:r>
      <w:r>
        <w:t>business requirements</w:t>
      </w:r>
      <w:r w:rsidRPr="00793414">
        <w:t xml:space="preserve"> </w:t>
      </w:r>
      <w:r>
        <w:t>that support the solution for this Modification Proposal</w:t>
      </w:r>
      <w:r w:rsidRPr="00793414">
        <w:t xml:space="preserve">. </w:t>
      </w:r>
      <w:r>
        <w:t>It</w:t>
      </w:r>
      <w:r w:rsidRPr="00793414">
        <w:t xml:space="preserve"> </w:t>
      </w:r>
      <w:r>
        <w:t>sets out the requirements along with any assumptions and considerations. The DCC will use this information to provide an assessment of the requirements that help shape the complete solution.</w:t>
      </w:r>
    </w:p>
    <w:p w14:paraId="16A52D4B" w14:textId="77777777" w:rsidR="00826E91" w:rsidRDefault="00900F50" w:rsidP="00236AA2">
      <w:pPr>
        <w:pStyle w:val="Heading1"/>
      </w:pPr>
      <w:bookmarkStart w:id="0" w:name="_Ref5184053"/>
      <w:r>
        <w:lastRenderedPageBreak/>
        <w:t xml:space="preserve">Business </w:t>
      </w:r>
      <w:r w:rsidR="00A7261B">
        <w:t>r</w:t>
      </w:r>
      <w:r>
        <w:t>equirements</w:t>
      </w:r>
      <w:bookmarkEnd w:id="0"/>
    </w:p>
    <w:p w14:paraId="4F04DD20" w14:textId="27C45B2D" w:rsidR="00070FE5" w:rsidRPr="00DA2F16" w:rsidRDefault="00070FE5" w:rsidP="00070FE5">
      <w:r>
        <w:t>This section contains the functional business requirements. Based on these requirements a full solution will be developed.</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594"/>
        <w:gridCol w:w="8422"/>
      </w:tblGrid>
      <w:tr w:rsidR="00900F50" w:rsidRPr="00110D0E" w14:paraId="165EA19E" w14:textId="77777777" w:rsidTr="00554352">
        <w:trPr>
          <w:trHeight w:val="87"/>
          <w:tblHeader/>
        </w:trPr>
        <w:tc>
          <w:tcPr>
            <w:tcW w:w="5000" w:type="pct"/>
            <w:gridSpan w:val="2"/>
            <w:tcBorders>
              <w:top w:val="single" w:sz="4" w:space="0" w:color="007C31"/>
              <w:left w:val="single" w:sz="4" w:space="0" w:color="007C31"/>
              <w:bottom w:val="single" w:sz="4" w:space="0" w:color="007C31"/>
              <w:right w:val="single" w:sz="4" w:space="0" w:color="007C31"/>
            </w:tcBorders>
            <w:shd w:val="clear" w:color="auto" w:fill="007C31"/>
          </w:tcPr>
          <w:p w14:paraId="08A3FE47" w14:textId="77777777" w:rsidR="00900F50" w:rsidRPr="00110D0E" w:rsidRDefault="00900F50" w:rsidP="00554352">
            <w:pPr>
              <w:keepNext/>
              <w:spacing w:before="40" w:after="40"/>
              <w:jc w:val="center"/>
              <w:rPr>
                <w:b/>
                <w:color w:val="404040"/>
              </w:rPr>
            </w:pPr>
            <w:r>
              <w:rPr>
                <w:b/>
                <w:color w:val="FFFFFF"/>
              </w:rPr>
              <w:t>Business Requirements</w:t>
            </w:r>
          </w:p>
        </w:tc>
      </w:tr>
      <w:tr w:rsidR="00900F50" w:rsidRPr="00110D0E" w14:paraId="4C0D61B5" w14:textId="77777777" w:rsidTr="00904AE9">
        <w:trPr>
          <w:tblHeader/>
        </w:trPr>
        <w:tc>
          <w:tcPr>
            <w:tcW w:w="329" w:type="pct"/>
            <w:tcBorders>
              <w:top w:val="single" w:sz="4" w:space="0" w:color="007C31"/>
              <w:left w:val="single" w:sz="4" w:space="0" w:color="007C31"/>
              <w:bottom w:val="single" w:sz="4" w:space="0" w:color="007C31"/>
              <w:right w:val="single" w:sz="4" w:space="0" w:color="007C31"/>
            </w:tcBorders>
          </w:tcPr>
          <w:p w14:paraId="476AEA3D" w14:textId="77777777" w:rsidR="00900F50" w:rsidRDefault="008E456F" w:rsidP="00554352">
            <w:pPr>
              <w:keepNext/>
              <w:spacing w:before="40" w:after="40"/>
              <w:jc w:val="center"/>
              <w:rPr>
                <w:b/>
                <w:color w:val="007C31"/>
              </w:rPr>
            </w:pPr>
            <w:r>
              <w:rPr>
                <w:b/>
                <w:color w:val="007C31"/>
              </w:rPr>
              <w:t>Re</w:t>
            </w:r>
            <w:r w:rsidR="004C2A99">
              <w:rPr>
                <w:b/>
                <w:color w:val="007C31"/>
              </w:rPr>
              <w:t>f.</w:t>
            </w:r>
          </w:p>
        </w:tc>
        <w:tc>
          <w:tcPr>
            <w:tcW w:w="4671" w:type="pct"/>
            <w:tcBorders>
              <w:top w:val="single" w:sz="4" w:space="0" w:color="007C31"/>
              <w:left w:val="single" w:sz="4" w:space="0" w:color="007C31"/>
              <w:bottom w:val="single" w:sz="4" w:space="0" w:color="007C31"/>
              <w:right w:val="single" w:sz="4" w:space="0" w:color="007C31"/>
            </w:tcBorders>
            <w:hideMark/>
          </w:tcPr>
          <w:p w14:paraId="6BA8F6B5" w14:textId="77777777" w:rsidR="00900F50" w:rsidRPr="00110D0E" w:rsidRDefault="008E456F" w:rsidP="00554352">
            <w:pPr>
              <w:keepNext/>
              <w:spacing w:before="40" w:after="40"/>
              <w:jc w:val="center"/>
              <w:rPr>
                <w:b/>
                <w:color w:val="007C31"/>
              </w:rPr>
            </w:pPr>
            <w:r>
              <w:rPr>
                <w:b/>
                <w:color w:val="007C31"/>
              </w:rPr>
              <w:t>Requirement</w:t>
            </w:r>
          </w:p>
        </w:tc>
      </w:tr>
      <w:tr w:rsidR="00900F50" w14:paraId="2AF1D0BA" w14:textId="77777777" w:rsidTr="00CB3CCE">
        <w:tc>
          <w:tcPr>
            <w:tcW w:w="329" w:type="pct"/>
            <w:tcBorders>
              <w:top w:val="single" w:sz="4" w:space="0" w:color="007C31"/>
              <w:left w:val="single" w:sz="4" w:space="0" w:color="007C31"/>
              <w:bottom w:val="single" w:sz="4" w:space="0" w:color="007C31"/>
              <w:right w:val="single" w:sz="4" w:space="0" w:color="007C31"/>
            </w:tcBorders>
          </w:tcPr>
          <w:p w14:paraId="386A4295" w14:textId="77777777" w:rsidR="00900F50" w:rsidRDefault="00900F50" w:rsidP="00CB3CCE">
            <w:pPr>
              <w:spacing w:before="40" w:after="40"/>
              <w:jc w:val="right"/>
            </w:pPr>
            <w:r>
              <w:t>1</w:t>
            </w:r>
          </w:p>
        </w:tc>
        <w:tc>
          <w:tcPr>
            <w:tcW w:w="4671" w:type="pct"/>
            <w:tcBorders>
              <w:top w:val="single" w:sz="4" w:space="0" w:color="007C31"/>
              <w:left w:val="single" w:sz="4" w:space="0" w:color="007C31"/>
              <w:bottom w:val="single" w:sz="4" w:space="0" w:color="007C31"/>
              <w:right w:val="single" w:sz="4" w:space="0" w:color="007C31"/>
            </w:tcBorders>
            <w:vAlign w:val="center"/>
          </w:tcPr>
          <w:p w14:paraId="5F892232" w14:textId="11DDFB6D" w:rsidR="00900F50" w:rsidRPr="00836D6C" w:rsidRDefault="003C1836" w:rsidP="00590050">
            <w:pPr>
              <w:spacing w:before="40" w:after="40"/>
            </w:pPr>
            <w:r>
              <w:t>E</w:t>
            </w:r>
            <w:r w:rsidR="00FE4D6D">
              <w:t xml:space="preserve">lectricity </w:t>
            </w:r>
            <w:r>
              <w:t>S</w:t>
            </w:r>
            <w:r w:rsidR="00FE4D6D">
              <w:t xml:space="preserve">mart </w:t>
            </w:r>
            <w:r>
              <w:t>M</w:t>
            </w:r>
            <w:r w:rsidR="00FE4D6D">
              <w:t xml:space="preserve">etering </w:t>
            </w:r>
            <w:r>
              <w:t>E</w:t>
            </w:r>
            <w:r w:rsidR="00FE4D6D">
              <w:t>quipment (ESME)</w:t>
            </w:r>
            <w:r>
              <w:t xml:space="preserve"> to commence </w:t>
            </w:r>
            <w:r w:rsidR="00590050">
              <w:t xml:space="preserve">calculating the </w:t>
            </w:r>
            <w:r>
              <w:t>average Root Mean Square (RMS) voltage at 00</w:t>
            </w:r>
            <w:r w:rsidR="004C566F">
              <w:t>:00</w:t>
            </w:r>
            <w:r>
              <w:t xml:space="preserve"> or 30</w:t>
            </w:r>
            <w:r w:rsidR="004C566F">
              <w:t>:00</w:t>
            </w:r>
            <w:r>
              <w:t xml:space="preserve"> </w:t>
            </w:r>
            <w:r w:rsidR="00590050">
              <w:t xml:space="preserve">(whichever occurs first) </w:t>
            </w:r>
            <w:r>
              <w:t xml:space="preserve">of the first hour once the ESME has been </w:t>
            </w:r>
            <w:r w:rsidR="00667A8B">
              <w:t xml:space="preserve">first </w:t>
            </w:r>
            <w:r>
              <w:t>energised.</w:t>
            </w:r>
          </w:p>
        </w:tc>
      </w:tr>
      <w:tr w:rsidR="00AA55B4" w14:paraId="0B01F0C2" w14:textId="77777777" w:rsidTr="00CB3CCE">
        <w:tc>
          <w:tcPr>
            <w:tcW w:w="329" w:type="pct"/>
            <w:tcBorders>
              <w:top w:val="single" w:sz="4" w:space="0" w:color="007C31"/>
              <w:left w:val="single" w:sz="4" w:space="0" w:color="007C31"/>
              <w:bottom w:val="single" w:sz="4" w:space="0" w:color="007C31"/>
              <w:right w:val="single" w:sz="4" w:space="0" w:color="007C31"/>
            </w:tcBorders>
          </w:tcPr>
          <w:p w14:paraId="19E12D04" w14:textId="77777777" w:rsidR="00AA55B4" w:rsidRDefault="00AA55B4" w:rsidP="00CB3CCE">
            <w:pPr>
              <w:spacing w:before="40" w:after="40"/>
              <w:jc w:val="right"/>
            </w:pPr>
            <w:bookmarkStart w:id="1" w:name="_Hlk5183144"/>
            <w:r>
              <w:t>2</w:t>
            </w:r>
          </w:p>
        </w:tc>
        <w:tc>
          <w:tcPr>
            <w:tcW w:w="4671" w:type="pct"/>
            <w:tcBorders>
              <w:top w:val="single" w:sz="4" w:space="0" w:color="007C31"/>
              <w:left w:val="single" w:sz="4" w:space="0" w:color="007C31"/>
              <w:bottom w:val="single" w:sz="4" w:space="0" w:color="007C31"/>
              <w:right w:val="single" w:sz="4" w:space="0" w:color="007C31"/>
            </w:tcBorders>
            <w:vAlign w:val="center"/>
          </w:tcPr>
          <w:p w14:paraId="6E88A3D4" w14:textId="0AAB50E8" w:rsidR="00AA55B4" w:rsidRPr="004C2A99" w:rsidRDefault="003C1836" w:rsidP="00590050">
            <w:pPr>
              <w:spacing w:before="40" w:after="40"/>
            </w:pPr>
            <w:r>
              <w:t xml:space="preserve">ESME to commence </w:t>
            </w:r>
            <w:r w:rsidR="00590050">
              <w:t xml:space="preserve">calculating the </w:t>
            </w:r>
            <w:r>
              <w:t>average RMS voltage at 00</w:t>
            </w:r>
            <w:r w:rsidR="004C566F">
              <w:t>:00</w:t>
            </w:r>
            <w:r>
              <w:t xml:space="preserve"> or 30</w:t>
            </w:r>
            <w:r w:rsidR="004C566F">
              <w:t>:00</w:t>
            </w:r>
            <w:r>
              <w:t xml:space="preserve"> </w:t>
            </w:r>
            <w:r w:rsidR="00590050">
              <w:t xml:space="preserve">(whichever occurs first) </w:t>
            </w:r>
            <w:r>
              <w:t xml:space="preserve">of the first hour after a command has been received to change the </w:t>
            </w:r>
            <w:r w:rsidR="00590050">
              <w:t xml:space="preserve">average </w:t>
            </w:r>
            <w:r>
              <w:t>RMS voltage measurement period.</w:t>
            </w:r>
          </w:p>
        </w:tc>
      </w:tr>
      <w:tr w:rsidR="00590050" w14:paraId="25E3DF9B" w14:textId="77777777" w:rsidTr="00CB3CCE">
        <w:tc>
          <w:tcPr>
            <w:tcW w:w="329" w:type="pct"/>
            <w:tcBorders>
              <w:top w:val="single" w:sz="4" w:space="0" w:color="007C31"/>
              <w:left w:val="single" w:sz="4" w:space="0" w:color="007C31"/>
              <w:bottom w:val="single" w:sz="4" w:space="0" w:color="007C31"/>
              <w:right w:val="single" w:sz="4" w:space="0" w:color="007C31"/>
            </w:tcBorders>
          </w:tcPr>
          <w:p w14:paraId="5463DBF2" w14:textId="295B26AE" w:rsidR="00590050" w:rsidRDefault="000D56FA" w:rsidP="00CB3CCE">
            <w:pPr>
              <w:spacing w:before="40" w:after="40"/>
              <w:jc w:val="right"/>
            </w:pPr>
            <w:r>
              <w:t>3</w:t>
            </w:r>
          </w:p>
        </w:tc>
        <w:tc>
          <w:tcPr>
            <w:tcW w:w="4671" w:type="pct"/>
            <w:tcBorders>
              <w:top w:val="single" w:sz="4" w:space="0" w:color="007C31"/>
              <w:left w:val="single" w:sz="4" w:space="0" w:color="007C31"/>
              <w:bottom w:val="single" w:sz="4" w:space="0" w:color="007C31"/>
              <w:right w:val="single" w:sz="4" w:space="0" w:color="007C31"/>
            </w:tcBorders>
            <w:vAlign w:val="center"/>
          </w:tcPr>
          <w:p w14:paraId="15F9A962" w14:textId="2FB02653" w:rsidR="00590050" w:rsidRDefault="00590050" w:rsidP="00590050">
            <w:pPr>
              <w:spacing w:before="40" w:after="40"/>
            </w:pPr>
            <w:r>
              <w:t>ESME to continue to calculate the average RMS voltage at a frequency in accordance with the average RMS voltage measurement period, until a command is received to change the average RMS voltage measurement period</w:t>
            </w:r>
            <w:r w:rsidR="000D56FA">
              <w:t>.</w:t>
            </w:r>
            <w:r w:rsidR="00667A8B">
              <w:t xml:space="preserve"> </w:t>
            </w:r>
          </w:p>
        </w:tc>
      </w:tr>
      <w:bookmarkEnd w:id="1"/>
      <w:tr w:rsidR="004C2A99" w14:paraId="4C654D97" w14:textId="77777777" w:rsidTr="00CB3CCE">
        <w:tc>
          <w:tcPr>
            <w:tcW w:w="329" w:type="pct"/>
            <w:tcBorders>
              <w:top w:val="single" w:sz="4" w:space="0" w:color="007C31"/>
              <w:left w:val="single" w:sz="4" w:space="0" w:color="007C31"/>
              <w:bottom w:val="single" w:sz="4" w:space="0" w:color="007C31"/>
              <w:right w:val="single" w:sz="4" w:space="0" w:color="007C31"/>
            </w:tcBorders>
          </w:tcPr>
          <w:p w14:paraId="0DE23465" w14:textId="1C61F24F" w:rsidR="004C2A99" w:rsidRDefault="000D56FA" w:rsidP="00CB3CCE">
            <w:pPr>
              <w:spacing w:before="40" w:after="40"/>
              <w:jc w:val="right"/>
            </w:pPr>
            <w:r>
              <w:t>4</w:t>
            </w:r>
          </w:p>
        </w:tc>
        <w:tc>
          <w:tcPr>
            <w:tcW w:w="4671" w:type="pct"/>
            <w:tcBorders>
              <w:top w:val="single" w:sz="4" w:space="0" w:color="007C31"/>
              <w:left w:val="single" w:sz="4" w:space="0" w:color="007C31"/>
              <w:bottom w:val="single" w:sz="4" w:space="0" w:color="007C31"/>
              <w:right w:val="single" w:sz="4" w:space="0" w:color="007C31"/>
            </w:tcBorders>
            <w:vAlign w:val="center"/>
          </w:tcPr>
          <w:p w14:paraId="3A00D12C" w14:textId="691541DD" w:rsidR="004C2A99" w:rsidRPr="00836D6C" w:rsidRDefault="00DA2F16" w:rsidP="00590050">
            <w:pPr>
              <w:spacing w:before="40" w:after="40"/>
            </w:pPr>
            <w:r>
              <w:t xml:space="preserve">Average RMS voltage </w:t>
            </w:r>
            <w:r w:rsidR="00590050">
              <w:t>measurement period is</w:t>
            </w:r>
            <w:r w:rsidR="007933A3">
              <w:t xml:space="preserve"> </w:t>
            </w:r>
            <w:r w:rsidR="00667A8B">
              <w:t xml:space="preserve">to </w:t>
            </w:r>
            <w:r w:rsidR="007933A3">
              <w:t>be</w:t>
            </w:r>
            <w:r>
              <w:t xml:space="preserve"> a maximum duration of 1,800 seconds w</w:t>
            </w:r>
            <w:r w:rsidR="007933A3">
              <w:t xml:space="preserve">ith </w:t>
            </w:r>
            <w:r>
              <w:t>alternat</w:t>
            </w:r>
            <w:r w:rsidR="000608FF">
              <w:t>iv</w:t>
            </w:r>
            <w:r>
              <w:t xml:space="preserve">e periods being </w:t>
            </w:r>
            <w:r w:rsidR="007933A3">
              <w:t>factors of 1,800 seconds.</w:t>
            </w:r>
          </w:p>
        </w:tc>
      </w:tr>
      <w:tr w:rsidR="000D56FA" w14:paraId="2103F952" w14:textId="77777777" w:rsidTr="00CB3CCE">
        <w:tc>
          <w:tcPr>
            <w:tcW w:w="329" w:type="pct"/>
            <w:tcBorders>
              <w:top w:val="single" w:sz="4" w:space="0" w:color="007C31"/>
              <w:left w:val="single" w:sz="4" w:space="0" w:color="007C31"/>
              <w:bottom w:val="single" w:sz="4" w:space="0" w:color="007C31"/>
              <w:right w:val="single" w:sz="4" w:space="0" w:color="007C31"/>
            </w:tcBorders>
          </w:tcPr>
          <w:p w14:paraId="6FEA1913" w14:textId="469F3785" w:rsidR="000D56FA" w:rsidDel="000D56FA" w:rsidRDefault="000D56FA" w:rsidP="00CB3CCE">
            <w:pPr>
              <w:spacing w:before="40" w:after="40"/>
              <w:jc w:val="right"/>
            </w:pPr>
            <w:r>
              <w:t>5</w:t>
            </w:r>
          </w:p>
        </w:tc>
        <w:tc>
          <w:tcPr>
            <w:tcW w:w="4671" w:type="pct"/>
            <w:tcBorders>
              <w:top w:val="single" w:sz="4" w:space="0" w:color="007C31"/>
              <w:left w:val="single" w:sz="4" w:space="0" w:color="007C31"/>
              <w:bottom w:val="single" w:sz="4" w:space="0" w:color="007C31"/>
              <w:right w:val="single" w:sz="4" w:space="0" w:color="007C31"/>
            </w:tcBorders>
            <w:vAlign w:val="center"/>
          </w:tcPr>
          <w:p w14:paraId="02D0D83B" w14:textId="58E9A7C8" w:rsidR="000D56FA" w:rsidRDefault="000D56FA" w:rsidP="001F67FA">
            <w:pPr>
              <w:spacing w:before="40" w:after="40"/>
            </w:pPr>
            <w:r>
              <w:t xml:space="preserve">ESME to retain any existing entries in </w:t>
            </w:r>
            <w:r w:rsidRPr="00667A8B">
              <w:t>the</w:t>
            </w:r>
            <w:r w:rsidR="00F4145E">
              <w:t xml:space="preserve"> Average RMS Voltage Profile Data Log</w:t>
            </w:r>
            <w:r w:rsidR="001F67FA" w:rsidRPr="00F4145E">
              <w:rPr>
                <w:i/>
              </w:rPr>
              <w:t xml:space="preserve"> </w:t>
            </w:r>
            <w:r w:rsidRPr="00F4145E">
              <w:rPr>
                <w:iCs/>
              </w:rPr>
              <w:t>rela</w:t>
            </w:r>
            <w:r w:rsidRPr="00667A8B">
              <w:t xml:space="preserve">ting to the period before the ESME was energised or before a command to change the </w:t>
            </w:r>
            <w:r w:rsidR="00F4145E">
              <w:t>Average RMS Voltage Measurement Period</w:t>
            </w:r>
            <w:r w:rsidRPr="001317B7">
              <w:rPr>
                <w:rStyle w:val="smetsxrefChar"/>
                <w:rFonts w:eastAsiaTheme="minorHAnsi"/>
                <w:i w:val="0"/>
              </w:rPr>
              <w:fldChar w:fldCharType="begin"/>
            </w:r>
            <w:r w:rsidRPr="001317B7">
              <w:rPr>
                <w:rStyle w:val="smetsxrefChar"/>
                <w:rFonts w:eastAsiaTheme="minorHAnsi"/>
                <w:i w:val="0"/>
              </w:rPr>
              <w:instrText xml:space="preserve"> REF _Ref321145090 \h \* CHARFORMAT  \* MERGEFORMAT </w:instrText>
            </w:r>
            <w:r w:rsidRPr="001317B7">
              <w:rPr>
                <w:rStyle w:val="smetsxrefChar"/>
                <w:rFonts w:eastAsiaTheme="minorHAnsi"/>
                <w:i w:val="0"/>
              </w:rPr>
            </w:r>
            <w:r w:rsidRPr="001317B7">
              <w:rPr>
                <w:rStyle w:val="smetsxrefChar"/>
                <w:rFonts w:eastAsiaTheme="minorHAnsi"/>
                <w:i w:val="0"/>
              </w:rPr>
              <w:fldChar w:fldCharType="end"/>
            </w:r>
            <w:r w:rsidR="001F67FA" w:rsidRPr="001317B7">
              <w:t xml:space="preserve"> has been received.</w:t>
            </w:r>
          </w:p>
        </w:tc>
      </w:tr>
    </w:tbl>
    <w:p w14:paraId="655E7411" w14:textId="77777777" w:rsidR="00900F50" w:rsidRDefault="00900F50" w:rsidP="00900F50"/>
    <w:p w14:paraId="2FF83117" w14:textId="77777777" w:rsidR="00D807BF" w:rsidRPr="00D807BF" w:rsidRDefault="00D807BF" w:rsidP="00D807BF"/>
    <w:p w14:paraId="5F8016B8" w14:textId="77777777" w:rsidR="006446A3" w:rsidRDefault="007308B2" w:rsidP="00901B0B">
      <w:pPr>
        <w:pStyle w:val="Heading1"/>
      </w:pPr>
      <w:r>
        <w:lastRenderedPageBreak/>
        <w:t>C</w:t>
      </w:r>
      <w:r w:rsidR="00900F50" w:rsidRPr="00900F50">
        <w:t xml:space="preserve">onsiderations and </w:t>
      </w:r>
      <w:r w:rsidR="00A7261B">
        <w:t>a</w:t>
      </w:r>
      <w:r w:rsidR="00900F50" w:rsidRPr="00900F50">
        <w:t>ssumptions</w:t>
      </w:r>
    </w:p>
    <w:p w14:paraId="4FF4891A" w14:textId="77777777" w:rsidR="002F3900" w:rsidRDefault="007308B2" w:rsidP="007308B2">
      <w:r>
        <w:t>This section contains the considerations and assumptions for each business requirement.</w:t>
      </w:r>
    </w:p>
    <w:p w14:paraId="733C98BD" w14:textId="77777777" w:rsidR="00CC18DF" w:rsidRDefault="00CC18DF" w:rsidP="007308B2"/>
    <w:p w14:paraId="1364A2CC" w14:textId="69122135" w:rsidR="00900F50" w:rsidRDefault="00A7261B" w:rsidP="0041493F">
      <w:pPr>
        <w:pStyle w:val="Heading2"/>
      </w:pPr>
      <w:bookmarkStart w:id="2" w:name="_Ref5183619"/>
      <w:r w:rsidRPr="0041493F">
        <w:t xml:space="preserve">Requirement </w:t>
      </w:r>
      <w:r w:rsidR="006073C8" w:rsidRPr="0041493F">
        <w:t>1</w:t>
      </w:r>
      <w:r w:rsidRPr="0041493F">
        <w:t xml:space="preserve">: </w:t>
      </w:r>
      <w:bookmarkEnd w:id="2"/>
      <w:r w:rsidR="00590050">
        <w:t>Electricity Smart Metering Equipment (ESME) to commence calculating the average Root Mean Square (RMS) voltage at 00</w:t>
      </w:r>
      <w:r w:rsidR="004C566F">
        <w:t>:00</w:t>
      </w:r>
      <w:r w:rsidR="00590050">
        <w:t xml:space="preserve"> or 30</w:t>
      </w:r>
      <w:r w:rsidR="004C566F">
        <w:t>:00</w:t>
      </w:r>
      <w:r w:rsidR="00590050">
        <w:t xml:space="preserve"> (whichever occurs first) of the first hour once the ESME has been energised.</w:t>
      </w:r>
    </w:p>
    <w:p w14:paraId="4D7249ED" w14:textId="7FB5A085" w:rsidR="006F5CE8" w:rsidRPr="006F5CE8" w:rsidRDefault="00FE4D6D" w:rsidP="006F5CE8">
      <w:r>
        <w:t>R</w:t>
      </w:r>
      <w:r w:rsidR="006F5CE8">
        <w:t xml:space="preserve">egimenting the average RMS voltage </w:t>
      </w:r>
      <w:r w:rsidR="00590050">
        <w:t xml:space="preserve">calculation </w:t>
      </w:r>
      <w:r w:rsidR="006F5CE8">
        <w:t>to commence at 00 or 30 of the hour will enable Distribution Network Operators to access data which can be used to analyse/monitor the performance of distribution networks and identify any problems that may occur more efficiently</w:t>
      </w:r>
      <w:r w:rsidR="00667A8B">
        <w:t xml:space="preserve"> as it will align with half hourly consumption data</w:t>
      </w:r>
      <w:r w:rsidR="006F5CE8">
        <w:t>.</w:t>
      </w:r>
    </w:p>
    <w:p w14:paraId="16C61C24" w14:textId="77777777" w:rsidR="00904AE9" w:rsidRDefault="00904AE9" w:rsidP="00900F50"/>
    <w:p w14:paraId="4932551D" w14:textId="0ADA158E" w:rsidR="00AA55B4" w:rsidRDefault="00AA55B4" w:rsidP="0041493F">
      <w:pPr>
        <w:pStyle w:val="Heading2"/>
      </w:pPr>
      <w:bookmarkStart w:id="3" w:name="_Ref5365366"/>
      <w:r w:rsidRPr="0041493F">
        <w:t xml:space="preserve">Requirement 2: </w:t>
      </w:r>
      <w:bookmarkEnd w:id="3"/>
      <w:r w:rsidR="00590050">
        <w:t>ESME to commence calculating the average RMS voltage at 00</w:t>
      </w:r>
      <w:r w:rsidR="004C566F">
        <w:t>:00</w:t>
      </w:r>
      <w:r w:rsidR="00590050">
        <w:t xml:space="preserve"> or 30</w:t>
      </w:r>
      <w:r w:rsidR="004C566F">
        <w:t>:00</w:t>
      </w:r>
      <w:r w:rsidR="00590050">
        <w:t xml:space="preserve"> (whichever occurs first) of the first hour after a command has been received to change the average RMS voltage measurement period.</w:t>
      </w:r>
    </w:p>
    <w:p w14:paraId="2AF810AE" w14:textId="4B626DF1" w:rsidR="00070FE5" w:rsidRDefault="006F5CE8" w:rsidP="00070FE5">
      <w:r>
        <w:t>Average RMS voltage</w:t>
      </w:r>
      <w:r w:rsidR="00590050">
        <w:t xml:space="preserve"> calculations</w:t>
      </w:r>
      <w:r>
        <w:t xml:space="preserve"> can </w:t>
      </w:r>
      <w:r w:rsidR="00590050">
        <w:t xml:space="preserve">be made </w:t>
      </w:r>
      <w:r w:rsidR="000D56FA">
        <w:t xml:space="preserve">across different </w:t>
      </w:r>
      <w:r>
        <w:t xml:space="preserve">measurement </w:t>
      </w:r>
      <w:r w:rsidR="000D56FA">
        <w:t>periods</w:t>
      </w:r>
      <w:r>
        <w:t xml:space="preserve">. It has been requested that when there is a </w:t>
      </w:r>
      <w:r w:rsidR="004F013F">
        <w:t>command</w:t>
      </w:r>
      <w:r>
        <w:t xml:space="preserve"> to change the measurement period, the ESME </w:t>
      </w:r>
      <w:r w:rsidR="000D56FA">
        <w:t xml:space="preserve">implements the new measurement period </w:t>
      </w:r>
      <w:r>
        <w:t xml:space="preserve">at 00 or 30 </w:t>
      </w:r>
      <w:r w:rsidR="000D56FA">
        <w:t xml:space="preserve">(whichever comes first) </w:t>
      </w:r>
      <w:r>
        <w:t>of the next hour</w:t>
      </w:r>
      <w:r w:rsidR="004F013F">
        <w:t xml:space="preserve"> after the receipt of the command.</w:t>
      </w:r>
    </w:p>
    <w:p w14:paraId="09CD16D1" w14:textId="77777777" w:rsidR="000D56FA" w:rsidRPr="00070FE5" w:rsidRDefault="000D56FA" w:rsidP="00070FE5"/>
    <w:p w14:paraId="1DD7A0FE" w14:textId="1A2088F9" w:rsidR="000D56FA" w:rsidRDefault="000D56FA" w:rsidP="000D56FA">
      <w:pPr>
        <w:pStyle w:val="Heading2"/>
      </w:pPr>
      <w:r w:rsidRPr="00822062">
        <w:t xml:space="preserve">Requirement </w:t>
      </w:r>
      <w:r>
        <w:t>3</w:t>
      </w:r>
      <w:r w:rsidRPr="00822062">
        <w:t xml:space="preserve">: </w:t>
      </w:r>
      <w:r>
        <w:t>ESME to continue to calculate the average RMS voltage at a frequency in accordance with the average RMS voltage measurement period, until a command is received to change the average RMS voltage measurement period.</w:t>
      </w:r>
    </w:p>
    <w:p w14:paraId="744803F7" w14:textId="37BCE00C" w:rsidR="000D56FA" w:rsidRPr="00070FE5" w:rsidRDefault="000D56FA" w:rsidP="000D56FA">
      <w:r>
        <w:t>In order to ensure continuity and consistency of the data, the ESME should continue to calculate the average RMS voltage readings based on the same average RMS voltage measurement period until it receives a command to do otherwise.</w:t>
      </w:r>
    </w:p>
    <w:p w14:paraId="09A4A035" w14:textId="77777777" w:rsidR="00AA55B4" w:rsidRDefault="00AA55B4" w:rsidP="00D158B6"/>
    <w:p w14:paraId="0BA2BF30" w14:textId="27893647" w:rsidR="00900F50" w:rsidRDefault="006C12AC" w:rsidP="0041493F">
      <w:pPr>
        <w:pStyle w:val="Heading2"/>
      </w:pPr>
      <w:bookmarkStart w:id="4" w:name="_Ref5183773"/>
      <w:r w:rsidRPr="00822062">
        <w:t xml:space="preserve">Requirement </w:t>
      </w:r>
      <w:r w:rsidR="000D56FA">
        <w:t>4</w:t>
      </w:r>
      <w:r w:rsidRPr="00822062">
        <w:t>:</w:t>
      </w:r>
      <w:r w:rsidR="00904AE9" w:rsidRPr="00822062">
        <w:t xml:space="preserve"> </w:t>
      </w:r>
      <w:bookmarkEnd w:id="4"/>
      <w:r w:rsidR="000D56FA">
        <w:t>Average RMS voltage measurement period is be a maximum duration of 1,800 seconds with alternat</w:t>
      </w:r>
      <w:r w:rsidR="00C42E32">
        <w:t>iv</w:t>
      </w:r>
      <w:r w:rsidR="000D56FA">
        <w:t>e periods being factors of 1,800 seconds</w:t>
      </w:r>
      <w:r w:rsidR="00D62FFE">
        <w:t>.</w:t>
      </w:r>
    </w:p>
    <w:p w14:paraId="7D8D552C" w14:textId="362BA79E" w:rsidR="00070FE5" w:rsidRDefault="00D62FFE" w:rsidP="00070FE5">
      <w:r>
        <w:t xml:space="preserve">In order to align average RMS voltage readings with half hourly consumption data, the default duration should be set to 1,800 seconds (30 minutes). Alternative periods </w:t>
      </w:r>
      <w:r w:rsidR="005C1E7F">
        <w:t xml:space="preserve">will be configurable from a range of </w:t>
      </w:r>
      <w:r>
        <w:t>factor</w:t>
      </w:r>
      <w:r w:rsidR="005C1E7F">
        <w:t>s</w:t>
      </w:r>
      <w:r>
        <w:t xml:space="preserve"> of 1,800. </w:t>
      </w:r>
      <w:r w:rsidR="001F599F">
        <w:t xml:space="preserve">The full range of </w:t>
      </w:r>
      <w:r w:rsidR="00783398">
        <w:t xml:space="preserve">permissible </w:t>
      </w:r>
      <w:r w:rsidR="001F599F">
        <w:t xml:space="preserve">average RMS voltage measurement periods can be found in the table below. </w:t>
      </w:r>
      <w:r>
        <w:t xml:space="preserve">This will allow </w:t>
      </w:r>
      <w:r w:rsidR="000D56FA">
        <w:t xml:space="preserve">more granular </w:t>
      </w:r>
      <w:r>
        <w:t xml:space="preserve">average RMS voltage </w:t>
      </w:r>
      <w:r w:rsidR="000D56FA">
        <w:t>data to be available to monitor and analyse network voltages in greater detail</w:t>
      </w:r>
      <w:r w:rsidR="00667A8B">
        <w:t xml:space="preserve">, where required, </w:t>
      </w:r>
      <w:r w:rsidR="000D56FA">
        <w:t xml:space="preserve">allowing for more </w:t>
      </w:r>
      <w:r>
        <w:t>efficient</w:t>
      </w:r>
      <w:r w:rsidR="000D56FA">
        <w:t xml:space="preserve"> design and operation of distribution networks</w:t>
      </w:r>
      <w:r>
        <w:t>.</w:t>
      </w:r>
    </w:p>
    <w:tbl>
      <w:tblPr>
        <w:tblStyle w:val="TableGrid"/>
        <w:tblW w:w="2670" w:type="pct"/>
        <w:jc w:val="center"/>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405"/>
        <w:gridCol w:w="2410"/>
      </w:tblGrid>
      <w:tr w:rsidR="001F599F" w14:paraId="13235F3E" w14:textId="77777777" w:rsidTr="006E3192">
        <w:trPr>
          <w:tblHeader/>
          <w:jc w:val="center"/>
        </w:trPr>
        <w:tc>
          <w:tcPr>
            <w:tcW w:w="5000" w:type="pct"/>
            <w:gridSpan w:val="2"/>
            <w:shd w:val="clear" w:color="auto" w:fill="007C31"/>
          </w:tcPr>
          <w:p w14:paraId="5DA4B793" w14:textId="2FB53C6E" w:rsidR="001F599F" w:rsidRPr="00687160" w:rsidRDefault="001F599F" w:rsidP="00F90DC4">
            <w:pPr>
              <w:pStyle w:val="Tabletitle"/>
              <w:rPr>
                <w:color w:val="007C31"/>
              </w:rPr>
            </w:pPr>
            <w:r>
              <w:t>Average RMS voltage measurement period</w:t>
            </w:r>
          </w:p>
        </w:tc>
      </w:tr>
      <w:tr w:rsidR="001F599F" w14:paraId="48F500EC" w14:textId="77777777" w:rsidTr="006E3192">
        <w:trPr>
          <w:tblHeader/>
          <w:jc w:val="center"/>
        </w:trPr>
        <w:tc>
          <w:tcPr>
            <w:tcW w:w="2497" w:type="pct"/>
          </w:tcPr>
          <w:p w14:paraId="4F098306" w14:textId="3791B3DF" w:rsidR="001F599F" w:rsidRPr="00687160" w:rsidRDefault="001F599F" w:rsidP="00F90DC4">
            <w:pPr>
              <w:pStyle w:val="Tablecolumheader"/>
            </w:pPr>
            <w:r>
              <w:t>Seconds</w:t>
            </w:r>
          </w:p>
        </w:tc>
        <w:tc>
          <w:tcPr>
            <w:tcW w:w="2503" w:type="pct"/>
          </w:tcPr>
          <w:p w14:paraId="3AF44B2E" w14:textId="0CAFE5CC" w:rsidR="001F599F" w:rsidRDefault="001F599F" w:rsidP="00F90DC4">
            <w:pPr>
              <w:pStyle w:val="Tablecolumheader"/>
            </w:pPr>
            <w:r>
              <w:t>Minutes</w:t>
            </w:r>
          </w:p>
        </w:tc>
      </w:tr>
      <w:tr w:rsidR="001F599F" w14:paraId="54AD70A1" w14:textId="77777777" w:rsidTr="006E3192">
        <w:trPr>
          <w:jc w:val="center"/>
        </w:trPr>
        <w:tc>
          <w:tcPr>
            <w:tcW w:w="2497" w:type="pct"/>
          </w:tcPr>
          <w:p w14:paraId="7A313612" w14:textId="4CE78F42" w:rsidR="001F599F" w:rsidRDefault="005C1E7F" w:rsidP="00F90DC4">
            <w:pPr>
              <w:pStyle w:val="Tablebodytext"/>
            </w:pPr>
            <w:r>
              <w:t>10</w:t>
            </w:r>
          </w:p>
        </w:tc>
        <w:tc>
          <w:tcPr>
            <w:tcW w:w="2503" w:type="pct"/>
          </w:tcPr>
          <w:p w14:paraId="4CF456A9" w14:textId="68F19215" w:rsidR="001F599F" w:rsidRDefault="005C1E7F" w:rsidP="00F90DC4">
            <w:pPr>
              <w:pStyle w:val="Tablebodytext"/>
            </w:pPr>
            <w:r>
              <w:t>00:10</w:t>
            </w:r>
          </w:p>
        </w:tc>
      </w:tr>
      <w:tr w:rsidR="001F599F" w14:paraId="1941C260" w14:textId="77777777" w:rsidTr="006E3192">
        <w:trPr>
          <w:jc w:val="center"/>
        </w:trPr>
        <w:tc>
          <w:tcPr>
            <w:tcW w:w="2497" w:type="pct"/>
          </w:tcPr>
          <w:p w14:paraId="1CC6A529" w14:textId="48E7EA04" w:rsidR="001F599F" w:rsidRDefault="005C1E7F" w:rsidP="00F90DC4">
            <w:pPr>
              <w:pStyle w:val="Tablebodytext"/>
            </w:pPr>
            <w:r>
              <w:t>15</w:t>
            </w:r>
          </w:p>
        </w:tc>
        <w:tc>
          <w:tcPr>
            <w:tcW w:w="2503" w:type="pct"/>
          </w:tcPr>
          <w:p w14:paraId="0BBAD31D" w14:textId="3D156FAC" w:rsidR="001F599F" w:rsidRDefault="005C1E7F" w:rsidP="00F90DC4">
            <w:pPr>
              <w:pStyle w:val="Tablebodytext"/>
            </w:pPr>
            <w:r>
              <w:t>00:15</w:t>
            </w:r>
          </w:p>
        </w:tc>
      </w:tr>
      <w:tr w:rsidR="001F599F" w14:paraId="6698ABB8" w14:textId="77777777" w:rsidTr="006E3192">
        <w:trPr>
          <w:jc w:val="center"/>
        </w:trPr>
        <w:tc>
          <w:tcPr>
            <w:tcW w:w="2497" w:type="pct"/>
          </w:tcPr>
          <w:p w14:paraId="2E996727" w14:textId="35CBB01B" w:rsidR="001F599F" w:rsidRDefault="005C1E7F" w:rsidP="00F90DC4">
            <w:pPr>
              <w:pStyle w:val="Tablebodytext"/>
            </w:pPr>
            <w:r>
              <w:t>30</w:t>
            </w:r>
          </w:p>
        </w:tc>
        <w:tc>
          <w:tcPr>
            <w:tcW w:w="2503" w:type="pct"/>
          </w:tcPr>
          <w:p w14:paraId="4E17154B" w14:textId="263740D9" w:rsidR="001F599F" w:rsidRDefault="005C1E7F" w:rsidP="00F90DC4">
            <w:pPr>
              <w:pStyle w:val="Tablebodytext"/>
            </w:pPr>
            <w:r>
              <w:t>00:30</w:t>
            </w:r>
          </w:p>
        </w:tc>
      </w:tr>
      <w:tr w:rsidR="001F599F" w14:paraId="2AFB4FD9" w14:textId="77777777" w:rsidTr="006E3192">
        <w:trPr>
          <w:jc w:val="center"/>
        </w:trPr>
        <w:tc>
          <w:tcPr>
            <w:tcW w:w="2497" w:type="pct"/>
          </w:tcPr>
          <w:p w14:paraId="452EFD9E" w14:textId="5C024291" w:rsidR="001F599F" w:rsidRDefault="005C1E7F" w:rsidP="00F90DC4">
            <w:pPr>
              <w:pStyle w:val="Tablebodytext"/>
            </w:pPr>
            <w:r>
              <w:lastRenderedPageBreak/>
              <w:t>60</w:t>
            </w:r>
          </w:p>
        </w:tc>
        <w:tc>
          <w:tcPr>
            <w:tcW w:w="2503" w:type="pct"/>
          </w:tcPr>
          <w:p w14:paraId="36C47CFA" w14:textId="50874CB3" w:rsidR="001F599F" w:rsidRDefault="005C1E7F" w:rsidP="00F90DC4">
            <w:pPr>
              <w:pStyle w:val="Tablebodytext"/>
            </w:pPr>
            <w:r>
              <w:t>01:00</w:t>
            </w:r>
          </w:p>
        </w:tc>
      </w:tr>
      <w:tr w:rsidR="001F599F" w14:paraId="47AF0855" w14:textId="77777777" w:rsidTr="006E3192">
        <w:trPr>
          <w:jc w:val="center"/>
        </w:trPr>
        <w:tc>
          <w:tcPr>
            <w:tcW w:w="2497" w:type="pct"/>
          </w:tcPr>
          <w:p w14:paraId="24CB803B" w14:textId="18E1ED6F" w:rsidR="001F599F" w:rsidRDefault="005C1E7F" w:rsidP="00F90DC4">
            <w:pPr>
              <w:pStyle w:val="Tablebodytext"/>
            </w:pPr>
            <w:r>
              <w:t>120</w:t>
            </w:r>
          </w:p>
        </w:tc>
        <w:tc>
          <w:tcPr>
            <w:tcW w:w="2503" w:type="pct"/>
          </w:tcPr>
          <w:p w14:paraId="2E0317A6" w14:textId="54BB9FF7" w:rsidR="001F599F" w:rsidRDefault="005C1E7F" w:rsidP="00F90DC4">
            <w:pPr>
              <w:pStyle w:val="Tablebodytext"/>
            </w:pPr>
            <w:r>
              <w:t>02:00</w:t>
            </w:r>
          </w:p>
        </w:tc>
      </w:tr>
      <w:tr w:rsidR="001F599F" w14:paraId="4F407DC8" w14:textId="77777777" w:rsidTr="006E3192">
        <w:trPr>
          <w:jc w:val="center"/>
        </w:trPr>
        <w:tc>
          <w:tcPr>
            <w:tcW w:w="2497" w:type="pct"/>
          </w:tcPr>
          <w:p w14:paraId="4AA7B716" w14:textId="2D425A53" w:rsidR="001F599F" w:rsidRDefault="005C1E7F" w:rsidP="00F90DC4">
            <w:pPr>
              <w:pStyle w:val="Tablebodytext"/>
            </w:pPr>
            <w:r>
              <w:t>180</w:t>
            </w:r>
          </w:p>
        </w:tc>
        <w:tc>
          <w:tcPr>
            <w:tcW w:w="2503" w:type="pct"/>
          </w:tcPr>
          <w:p w14:paraId="1F27A70E" w14:textId="17CF2B0D" w:rsidR="001F599F" w:rsidRDefault="005C1E7F" w:rsidP="00F90DC4">
            <w:pPr>
              <w:pStyle w:val="Tablebodytext"/>
            </w:pPr>
            <w:r>
              <w:t>03:00</w:t>
            </w:r>
          </w:p>
        </w:tc>
      </w:tr>
      <w:tr w:rsidR="001F599F" w14:paraId="4630A1F6" w14:textId="77777777" w:rsidTr="006E3192">
        <w:trPr>
          <w:jc w:val="center"/>
        </w:trPr>
        <w:tc>
          <w:tcPr>
            <w:tcW w:w="2497" w:type="pct"/>
          </w:tcPr>
          <w:p w14:paraId="4BCDC944" w14:textId="34CE8BAA" w:rsidR="001F599F" w:rsidRDefault="005C1E7F" w:rsidP="00F90DC4">
            <w:pPr>
              <w:pStyle w:val="Tablebodytext"/>
            </w:pPr>
            <w:r>
              <w:t>300</w:t>
            </w:r>
          </w:p>
        </w:tc>
        <w:tc>
          <w:tcPr>
            <w:tcW w:w="2503" w:type="pct"/>
          </w:tcPr>
          <w:p w14:paraId="30AF0A73" w14:textId="12F02C1A" w:rsidR="001F599F" w:rsidRDefault="005C1E7F" w:rsidP="00F90DC4">
            <w:pPr>
              <w:pStyle w:val="Tablebodytext"/>
            </w:pPr>
            <w:r>
              <w:t>05:00</w:t>
            </w:r>
          </w:p>
        </w:tc>
      </w:tr>
      <w:tr w:rsidR="005C1E7F" w14:paraId="5EA46AB5" w14:textId="77777777" w:rsidTr="006E3192">
        <w:trPr>
          <w:jc w:val="center"/>
        </w:trPr>
        <w:tc>
          <w:tcPr>
            <w:tcW w:w="2497" w:type="pct"/>
          </w:tcPr>
          <w:p w14:paraId="6736DB5D" w14:textId="2B5C071A" w:rsidR="005C1E7F" w:rsidRDefault="00C42E32" w:rsidP="00F90DC4">
            <w:pPr>
              <w:pStyle w:val="Tablebodytext"/>
            </w:pPr>
            <w:r>
              <w:t>360</w:t>
            </w:r>
          </w:p>
        </w:tc>
        <w:tc>
          <w:tcPr>
            <w:tcW w:w="2503" w:type="pct"/>
          </w:tcPr>
          <w:p w14:paraId="3E8A6729" w14:textId="6FBB9D7D" w:rsidR="005C1E7F" w:rsidRDefault="005C1E7F" w:rsidP="00F90DC4">
            <w:pPr>
              <w:pStyle w:val="Tablebodytext"/>
            </w:pPr>
            <w:r>
              <w:t>06:00</w:t>
            </w:r>
          </w:p>
        </w:tc>
      </w:tr>
      <w:tr w:rsidR="00F90DC4" w14:paraId="021FAB47" w14:textId="77777777" w:rsidTr="006E3192">
        <w:trPr>
          <w:jc w:val="center"/>
        </w:trPr>
        <w:tc>
          <w:tcPr>
            <w:tcW w:w="2497" w:type="pct"/>
          </w:tcPr>
          <w:p w14:paraId="17C64898" w14:textId="5396D967" w:rsidR="00F90DC4" w:rsidRDefault="00C42E32" w:rsidP="00F90DC4">
            <w:pPr>
              <w:pStyle w:val="Tablebodytext"/>
            </w:pPr>
            <w:r>
              <w:t>600</w:t>
            </w:r>
          </w:p>
        </w:tc>
        <w:tc>
          <w:tcPr>
            <w:tcW w:w="2503" w:type="pct"/>
          </w:tcPr>
          <w:p w14:paraId="2CDBAA44" w14:textId="4E143DCD" w:rsidR="00F90DC4" w:rsidRDefault="00F90DC4" w:rsidP="00F90DC4">
            <w:pPr>
              <w:pStyle w:val="Tablebodytext"/>
            </w:pPr>
            <w:r>
              <w:t>10:00</w:t>
            </w:r>
          </w:p>
        </w:tc>
      </w:tr>
      <w:tr w:rsidR="001F599F" w14:paraId="35D10342" w14:textId="77777777" w:rsidTr="006E3192">
        <w:trPr>
          <w:jc w:val="center"/>
        </w:trPr>
        <w:tc>
          <w:tcPr>
            <w:tcW w:w="2497" w:type="pct"/>
          </w:tcPr>
          <w:p w14:paraId="7AA2FAA5" w14:textId="7BFBF6E5" w:rsidR="001F599F" w:rsidRDefault="005C1E7F" w:rsidP="00F90DC4">
            <w:pPr>
              <w:pStyle w:val="Tablebodytext"/>
            </w:pPr>
            <w:r>
              <w:t>900</w:t>
            </w:r>
          </w:p>
        </w:tc>
        <w:tc>
          <w:tcPr>
            <w:tcW w:w="2503" w:type="pct"/>
          </w:tcPr>
          <w:p w14:paraId="597698CE" w14:textId="40CAB5F2" w:rsidR="001F599F" w:rsidRDefault="005C1E7F" w:rsidP="00F90DC4">
            <w:pPr>
              <w:pStyle w:val="Tablebodytext"/>
            </w:pPr>
            <w:r>
              <w:t>15:00</w:t>
            </w:r>
          </w:p>
        </w:tc>
      </w:tr>
      <w:tr w:rsidR="001F599F" w14:paraId="0AF969D0" w14:textId="77777777" w:rsidTr="006E3192">
        <w:trPr>
          <w:jc w:val="center"/>
        </w:trPr>
        <w:tc>
          <w:tcPr>
            <w:tcW w:w="2497" w:type="pct"/>
          </w:tcPr>
          <w:p w14:paraId="48EC5293" w14:textId="43A738B9" w:rsidR="001F599F" w:rsidRDefault="005C1E7F" w:rsidP="00F90DC4">
            <w:pPr>
              <w:pStyle w:val="Tablebodytext"/>
            </w:pPr>
            <w:r>
              <w:t>1,800</w:t>
            </w:r>
          </w:p>
        </w:tc>
        <w:tc>
          <w:tcPr>
            <w:tcW w:w="2503" w:type="pct"/>
          </w:tcPr>
          <w:p w14:paraId="2D28A2C7" w14:textId="1D5BC14F" w:rsidR="001F599F" w:rsidRDefault="005C1E7F" w:rsidP="00F90DC4">
            <w:pPr>
              <w:pStyle w:val="Tablebodytext"/>
            </w:pPr>
            <w:r>
              <w:t>30:00</w:t>
            </w:r>
          </w:p>
        </w:tc>
      </w:tr>
    </w:tbl>
    <w:p w14:paraId="2367BC04" w14:textId="77777777" w:rsidR="001F599F" w:rsidRPr="00070FE5" w:rsidRDefault="001F599F" w:rsidP="00070FE5"/>
    <w:p w14:paraId="320976CA" w14:textId="77777777" w:rsidR="00904AE9" w:rsidRDefault="00904AE9" w:rsidP="00900F50"/>
    <w:p w14:paraId="22B2E8A9" w14:textId="50547291" w:rsidR="001F67FA" w:rsidRPr="001F67FA" w:rsidRDefault="001F67FA" w:rsidP="001F67FA">
      <w:pPr>
        <w:pStyle w:val="Heading2"/>
        <w:ind w:left="720" w:hanging="720"/>
      </w:pPr>
      <w:r w:rsidRPr="001F67FA">
        <w:t xml:space="preserve">Requirement </w:t>
      </w:r>
      <w:r w:rsidR="00667A8B">
        <w:t>5</w:t>
      </w:r>
      <w:r w:rsidRPr="001F67FA">
        <w:t xml:space="preserve">: </w:t>
      </w:r>
      <w:r w:rsidR="00F4145E">
        <w:t xml:space="preserve">ESME to retain any existing entries in </w:t>
      </w:r>
      <w:r w:rsidR="00F4145E" w:rsidRPr="00667A8B">
        <w:t>the</w:t>
      </w:r>
      <w:r w:rsidR="00F4145E">
        <w:t xml:space="preserve"> Average RMS Voltage Profile Data Log</w:t>
      </w:r>
      <w:r w:rsidR="00F4145E" w:rsidRPr="00F4145E">
        <w:rPr>
          <w:i/>
        </w:rPr>
        <w:t xml:space="preserve"> </w:t>
      </w:r>
      <w:r w:rsidR="00F4145E" w:rsidRPr="00F4145E">
        <w:rPr>
          <w:iCs/>
        </w:rPr>
        <w:t>rela</w:t>
      </w:r>
      <w:r w:rsidR="00F4145E" w:rsidRPr="00667A8B">
        <w:t xml:space="preserve">ting to the period before the ESME was energised or before a command to change the </w:t>
      </w:r>
      <w:r w:rsidR="00F4145E">
        <w:t>Average RMS Voltage Measurement Period</w:t>
      </w:r>
      <w:r w:rsidR="00F4145E" w:rsidRPr="001317B7">
        <w:rPr>
          <w:rStyle w:val="smetsxrefChar"/>
          <w:rFonts w:eastAsiaTheme="minorHAnsi"/>
          <w:i w:val="0"/>
        </w:rPr>
        <w:fldChar w:fldCharType="begin"/>
      </w:r>
      <w:r w:rsidR="00F4145E" w:rsidRPr="001317B7">
        <w:rPr>
          <w:rStyle w:val="smetsxrefChar"/>
          <w:rFonts w:eastAsiaTheme="minorHAnsi"/>
          <w:i w:val="0"/>
        </w:rPr>
        <w:instrText xml:space="preserve"> REF _Ref321145090 \h \* CHARFORMAT  \* MERGEFORMAT </w:instrText>
      </w:r>
      <w:r w:rsidR="00F4145E" w:rsidRPr="001317B7">
        <w:rPr>
          <w:rStyle w:val="smetsxrefChar"/>
          <w:rFonts w:eastAsiaTheme="minorHAnsi"/>
          <w:i w:val="0"/>
        </w:rPr>
      </w:r>
      <w:r w:rsidR="00F4145E" w:rsidRPr="001317B7">
        <w:rPr>
          <w:rStyle w:val="smetsxrefChar"/>
          <w:rFonts w:eastAsiaTheme="minorHAnsi"/>
          <w:i w:val="0"/>
        </w:rPr>
        <w:fldChar w:fldCharType="end"/>
      </w:r>
      <w:r w:rsidR="00F4145E" w:rsidRPr="001317B7">
        <w:t xml:space="preserve"> has been received.</w:t>
      </w:r>
    </w:p>
    <w:p w14:paraId="7DB2D3FE" w14:textId="5A8C65AF" w:rsidR="00D158B6" w:rsidRDefault="001F67FA" w:rsidP="00D158B6">
      <w:pPr>
        <w:rPr>
          <w:highlight w:val="yellow"/>
        </w:rPr>
      </w:pPr>
      <w:r>
        <w:t>In order to ensure that all the potential 4320 entries are available to monitor and analyse network voltages allowing for more efficient design and operation of distribution networks.</w:t>
      </w:r>
    </w:p>
    <w:p w14:paraId="74229157" w14:textId="77777777" w:rsidR="00CA6B6F" w:rsidRPr="003B51F2" w:rsidRDefault="00E27053" w:rsidP="00E27053">
      <w:pPr>
        <w:pStyle w:val="Heading1"/>
      </w:pPr>
      <w:r>
        <w:lastRenderedPageBreak/>
        <w:t>Glossary</w:t>
      </w:r>
    </w:p>
    <w:p w14:paraId="30D7FB06" w14:textId="77777777" w:rsidR="001944C9" w:rsidRDefault="00AA1B55" w:rsidP="00CC18DF">
      <w:r w:rsidRPr="00AA1B55">
        <w:t>This table lists all the acronyms used in this document and the full term they are an abbreviation for.</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645"/>
        <w:gridCol w:w="7371"/>
      </w:tblGrid>
      <w:tr w:rsidR="00AA1B55" w14:paraId="0A97F9B4" w14:textId="77777777" w:rsidTr="00590050">
        <w:trPr>
          <w:tblHeader/>
        </w:trPr>
        <w:tc>
          <w:tcPr>
            <w:tcW w:w="5000" w:type="pct"/>
            <w:gridSpan w:val="2"/>
            <w:shd w:val="clear" w:color="auto" w:fill="007C31"/>
          </w:tcPr>
          <w:p w14:paraId="68C5E2BA" w14:textId="77777777" w:rsidR="00AA1B55" w:rsidRPr="00687160" w:rsidRDefault="00AA1B55" w:rsidP="00590050">
            <w:pPr>
              <w:pStyle w:val="Tabletitle"/>
              <w:rPr>
                <w:color w:val="007C31"/>
              </w:rPr>
            </w:pPr>
            <w:r>
              <w:t>Glossary</w:t>
            </w:r>
          </w:p>
        </w:tc>
      </w:tr>
      <w:tr w:rsidR="00AA1B55" w14:paraId="692D7C44" w14:textId="77777777" w:rsidTr="00590050">
        <w:trPr>
          <w:tblHeader/>
        </w:trPr>
        <w:tc>
          <w:tcPr>
            <w:tcW w:w="912" w:type="pct"/>
          </w:tcPr>
          <w:p w14:paraId="035312BC" w14:textId="77777777" w:rsidR="00AA1B55" w:rsidRPr="00687160" w:rsidRDefault="00AA1B55" w:rsidP="00590050">
            <w:pPr>
              <w:pStyle w:val="Tablecolumheader"/>
            </w:pPr>
            <w:r>
              <w:t>Acronym</w:t>
            </w:r>
          </w:p>
        </w:tc>
        <w:tc>
          <w:tcPr>
            <w:tcW w:w="4088" w:type="pct"/>
          </w:tcPr>
          <w:p w14:paraId="25026D72" w14:textId="77777777" w:rsidR="00AA1B55" w:rsidRDefault="00AA1B55" w:rsidP="00590050">
            <w:pPr>
              <w:pStyle w:val="Tablecolumheader"/>
            </w:pPr>
            <w:r>
              <w:t>Full term</w:t>
            </w:r>
          </w:p>
        </w:tc>
      </w:tr>
      <w:tr w:rsidR="00AA1B55" w14:paraId="7ED588DB" w14:textId="77777777" w:rsidTr="00590050">
        <w:tc>
          <w:tcPr>
            <w:tcW w:w="912" w:type="pct"/>
          </w:tcPr>
          <w:p w14:paraId="110522FC" w14:textId="77777777" w:rsidR="00AA1B55" w:rsidRDefault="00E70D01" w:rsidP="00590050">
            <w:pPr>
              <w:pStyle w:val="Tablebodytext"/>
            </w:pPr>
            <w:r>
              <w:t>DCC</w:t>
            </w:r>
          </w:p>
        </w:tc>
        <w:tc>
          <w:tcPr>
            <w:tcW w:w="4088" w:type="pct"/>
          </w:tcPr>
          <w:p w14:paraId="0D1BCEB4" w14:textId="77777777" w:rsidR="00AA1B55" w:rsidRDefault="00E70D01" w:rsidP="00590050">
            <w:pPr>
              <w:pStyle w:val="Tablebodytext"/>
            </w:pPr>
            <w:r>
              <w:t>Data Communications Company</w:t>
            </w:r>
          </w:p>
        </w:tc>
      </w:tr>
      <w:tr w:rsidR="00AA1B55" w14:paraId="6B6F09E5" w14:textId="77777777" w:rsidTr="00590050">
        <w:tc>
          <w:tcPr>
            <w:tcW w:w="912" w:type="pct"/>
          </w:tcPr>
          <w:p w14:paraId="60F045F9" w14:textId="72BEF79A" w:rsidR="00AA1B55" w:rsidRDefault="00DA2F16" w:rsidP="00590050">
            <w:pPr>
              <w:pStyle w:val="Tablebodytext"/>
            </w:pPr>
            <w:r>
              <w:t>ESME</w:t>
            </w:r>
          </w:p>
        </w:tc>
        <w:tc>
          <w:tcPr>
            <w:tcW w:w="4088" w:type="pct"/>
          </w:tcPr>
          <w:p w14:paraId="7CB94A94" w14:textId="40DA59AD" w:rsidR="00AA1B55" w:rsidRDefault="00DA2F16" w:rsidP="00590050">
            <w:pPr>
              <w:pStyle w:val="Tablebodytext"/>
            </w:pPr>
            <w:r>
              <w:t>Electricity Smart Metering Equipment</w:t>
            </w:r>
          </w:p>
        </w:tc>
      </w:tr>
      <w:tr w:rsidR="00F22631" w14:paraId="4EA49EAC" w14:textId="77777777" w:rsidTr="00590050">
        <w:tc>
          <w:tcPr>
            <w:tcW w:w="912" w:type="pct"/>
          </w:tcPr>
          <w:p w14:paraId="1DDB9965" w14:textId="330AD612" w:rsidR="00F22631" w:rsidRDefault="00DA2F16" w:rsidP="00590050">
            <w:pPr>
              <w:pStyle w:val="Tablebodytext"/>
            </w:pPr>
            <w:r>
              <w:t>RMS</w:t>
            </w:r>
          </w:p>
        </w:tc>
        <w:tc>
          <w:tcPr>
            <w:tcW w:w="4088" w:type="pct"/>
          </w:tcPr>
          <w:p w14:paraId="0C986D45" w14:textId="02A07819" w:rsidR="00F22631" w:rsidRDefault="00DA2F16" w:rsidP="00590050">
            <w:pPr>
              <w:pStyle w:val="Tablebodytext"/>
            </w:pPr>
            <w:r>
              <w:t>Root Mean Square</w:t>
            </w:r>
          </w:p>
        </w:tc>
      </w:tr>
    </w:tbl>
    <w:p w14:paraId="1C680594" w14:textId="77777777" w:rsidR="00AA1B55" w:rsidRPr="00090AAE" w:rsidRDefault="00AA1B55" w:rsidP="00CC18DF"/>
    <w:sectPr w:rsidR="00AA1B55" w:rsidRPr="00090AAE" w:rsidSect="00DF4FF0">
      <w:footerReference w:type="default" r:id="rId8"/>
      <w:pgSz w:w="11906" w:h="16838" w:code="9"/>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2E63" w14:textId="77777777" w:rsidR="004C566F" w:rsidRDefault="004C566F" w:rsidP="004F458B">
      <w:pPr>
        <w:spacing w:after="0" w:line="240" w:lineRule="auto"/>
      </w:pPr>
      <w:r>
        <w:separator/>
      </w:r>
    </w:p>
  </w:endnote>
  <w:endnote w:type="continuationSeparator" w:id="0">
    <w:p w14:paraId="79B23C42" w14:textId="77777777" w:rsidR="004C566F" w:rsidRDefault="004C566F"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4C566F" w:rsidRPr="00633F6B" w14:paraId="12A0DDA6" w14:textId="77777777" w:rsidTr="00A43AC0">
      <w:trPr>
        <w:jc w:val="center"/>
      </w:trPr>
      <w:tc>
        <w:tcPr>
          <w:tcW w:w="3040" w:type="dxa"/>
        </w:tcPr>
        <w:p w14:paraId="534F7CA2" w14:textId="77777777" w:rsidR="004C566F" w:rsidRPr="00633F6B" w:rsidRDefault="004C566F" w:rsidP="004D00F1">
          <w:pPr>
            <w:pStyle w:val="Footer"/>
            <w:spacing w:after="120"/>
            <w:rPr>
              <w:rFonts w:cs="Arial"/>
              <w:color w:val="595959" w:themeColor="text1" w:themeTint="A6"/>
              <w:sz w:val="16"/>
              <w:szCs w:val="16"/>
            </w:rPr>
          </w:pPr>
        </w:p>
      </w:tc>
      <w:tc>
        <w:tcPr>
          <w:tcW w:w="2987" w:type="dxa"/>
          <w:vMerge w:val="restart"/>
          <w:vAlign w:val="center"/>
        </w:tcPr>
        <w:p w14:paraId="2B6D2D84" w14:textId="77777777" w:rsidR="004C566F" w:rsidRPr="00633F6B" w:rsidRDefault="004C566F" w:rsidP="00A43AC0">
          <w:pPr>
            <w:pStyle w:val="Footer"/>
            <w:jc w:val="center"/>
            <w:rPr>
              <w:rFonts w:cs="Arial"/>
              <w:color w:val="595959" w:themeColor="text1" w:themeTint="A6"/>
              <w:sz w:val="16"/>
              <w:szCs w:val="16"/>
            </w:rPr>
          </w:pPr>
          <w:r>
            <w:rPr>
              <w:noProof/>
              <w:lang w:eastAsia="en-GB"/>
            </w:rPr>
            <w:drawing>
              <wp:inline distT="0" distB="0" distL="0" distR="0" wp14:anchorId="3A227B43" wp14:editId="57DF7C53">
                <wp:extent cx="1170579" cy="6804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9" w:type="dxa"/>
        </w:tcPr>
        <w:p w14:paraId="1677F28E" w14:textId="77777777" w:rsidR="004C566F" w:rsidRPr="00633F6B" w:rsidRDefault="004C566F" w:rsidP="004D00F1">
          <w:pPr>
            <w:pStyle w:val="Footer"/>
            <w:spacing w:after="120"/>
            <w:rPr>
              <w:rFonts w:cs="Arial"/>
              <w:color w:val="595959" w:themeColor="text1" w:themeTint="A6"/>
              <w:sz w:val="16"/>
              <w:szCs w:val="16"/>
            </w:rPr>
          </w:pPr>
        </w:p>
      </w:tc>
    </w:tr>
    <w:tr w:rsidR="004C566F" w:rsidRPr="00633F6B" w14:paraId="5FF01784" w14:textId="77777777" w:rsidTr="005D1AC4">
      <w:trPr>
        <w:trHeight w:val="827"/>
        <w:jc w:val="center"/>
      </w:trPr>
      <w:tc>
        <w:tcPr>
          <w:tcW w:w="3040" w:type="dxa"/>
        </w:tcPr>
        <w:p w14:paraId="4063D54A" w14:textId="7CDA1637" w:rsidR="004C566F" w:rsidRPr="00FE4D6D" w:rsidRDefault="004C566F" w:rsidP="00DF4FF0">
          <w:pPr>
            <w:pStyle w:val="Footer"/>
            <w:rPr>
              <w:rFonts w:cs="Arial"/>
              <w:color w:val="595959" w:themeColor="text1" w:themeTint="A6"/>
              <w:sz w:val="16"/>
              <w:szCs w:val="16"/>
            </w:rPr>
          </w:pPr>
          <w:r w:rsidRPr="003359BB">
            <w:rPr>
              <w:rFonts w:cs="Arial"/>
              <w:color w:val="595959" w:themeColor="text1" w:themeTint="A6"/>
              <w:sz w:val="16"/>
              <w:szCs w:val="16"/>
            </w:rPr>
            <w:t>MP</w:t>
          </w:r>
          <w:r>
            <w:rPr>
              <w:rFonts w:cs="Arial"/>
              <w:color w:val="595959" w:themeColor="text1" w:themeTint="A6"/>
              <w:sz w:val="16"/>
              <w:szCs w:val="16"/>
            </w:rPr>
            <w:t>085 business requirements</w:t>
          </w:r>
        </w:p>
      </w:tc>
      <w:tc>
        <w:tcPr>
          <w:tcW w:w="2987" w:type="dxa"/>
          <w:vMerge/>
        </w:tcPr>
        <w:p w14:paraId="50FA4343" w14:textId="77777777" w:rsidR="004C566F" w:rsidRPr="00633F6B" w:rsidRDefault="004C566F" w:rsidP="00633F6B">
          <w:pPr>
            <w:pStyle w:val="Footer"/>
            <w:jc w:val="center"/>
            <w:rPr>
              <w:rFonts w:cs="Arial"/>
              <w:color w:val="595959" w:themeColor="text1" w:themeTint="A6"/>
              <w:sz w:val="16"/>
              <w:szCs w:val="16"/>
            </w:rPr>
          </w:pPr>
        </w:p>
      </w:tc>
      <w:tc>
        <w:tcPr>
          <w:tcW w:w="2999" w:type="dxa"/>
        </w:tcPr>
        <w:p w14:paraId="2BF330D7" w14:textId="77777777" w:rsidR="004C566F" w:rsidRDefault="004C566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783398">
            <w:rPr>
              <w:rFonts w:cs="Arial"/>
              <w:noProof/>
              <w:color w:val="595959" w:themeColor="text1" w:themeTint="A6"/>
              <w:sz w:val="16"/>
              <w:szCs w:val="16"/>
            </w:rPr>
            <w:t>1</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783398">
            <w:rPr>
              <w:rFonts w:cs="Arial"/>
              <w:noProof/>
              <w:color w:val="595959" w:themeColor="text1" w:themeTint="A6"/>
              <w:sz w:val="16"/>
              <w:szCs w:val="16"/>
            </w:rPr>
            <w:t>5</w:t>
          </w:r>
          <w:r w:rsidRPr="00633F6B">
            <w:rPr>
              <w:rFonts w:cs="Arial"/>
              <w:color w:val="595959" w:themeColor="text1" w:themeTint="A6"/>
              <w:sz w:val="16"/>
              <w:szCs w:val="16"/>
            </w:rPr>
            <w:fldChar w:fldCharType="end"/>
          </w:r>
        </w:p>
        <w:p w14:paraId="2BA5773B" w14:textId="77777777" w:rsidR="004C566F" w:rsidRDefault="004C566F" w:rsidP="00633F6B">
          <w:pPr>
            <w:pStyle w:val="Footer"/>
            <w:jc w:val="right"/>
            <w:rPr>
              <w:rFonts w:cs="Arial"/>
              <w:color w:val="595959" w:themeColor="text1" w:themeTint="A6"/>
              <w:sz w:val="16"/>
              <w:szCs w:val="16"/>
            </w:rPr>
          </w:pPr>
        </w:p>
        <w:p w14:paraId="05DBE515" w14:textId="77777777" w:rsidR="004C566F" w:rsidRPr="00633F6B" w:rsidRDefault="004C566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18C30855" w14:textId="77777777" w:rsidR="004C566F" w:rsidRPr="00633F6B" w:rsidRDefault="004C566F"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1132" w14:textId="77777777" w:rsidR="004C566F" w:rsidRDefault="004C566F" w:rsidP="004F458B">
      <w:pPr>
        <w:spacing w:after="0" w:line="240" w:lineRule="auto"/>
      </w:pPr>
      <w:r>
        <w:separator/>
      </w:r>
    </w:p>
  </w:footnote>
  <w:footnote w:type="continuationSeparator" w:id="0">
    <w:p w14:paraId="19BFE686" w14:textId="77777777" w:rsidR="004C566F" w:rsidRDefault="004C566F" w:rsidP="004F4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B72"/>
    <w:multiLevelType w:val="multilevel"/>
    <w:tmpl w:val="65945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2D10B5"/>
    <w:multiLevelType w:val="hybridMultilevel"/>
    <w:tmpl w:val="179AF1B4"/>
    <w:lvl w:ilvl="0" w:tplc="2AB0EE8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2210F1"/>
    <w:multiLevelType w:val="hybridMultilevel"/>
    <w:tmpl w:val="87A080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6020731"/>
    <w:multiLevelType w:val="hybridMultilevel"/>
    <w:tmpl w:val="EA321216"/>
    <w:lvl w:ilvl="0" w:tplc="0D0A86C6">
      <w:start w:val="1"/>
      <w:numFmt w:val="bullet"/>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394910"/>
    <w:multiLevelType w:val="multilevel"/>
    <w:tmpl w:val="E2D6F0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3F2A9B"/>
    <w:multiLevelType w:val="hybridMultilevel"/>
    <w:tmpl w:val="8C703A8A"/>
    <w:lvl w:ilvl="0" w:tplc="2AB0EE80">
      <w:start w:val="1"/>
      <w:numFmt w:val="bullet"/>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767F25"/>
    <w:multiLevelType w:val="multilevel"/>
    <w:tmpl w:val="0FDA6212"/>
    <w:lvl w:ilvl="0">
      <w:start w:val="1"/>
      <w:numFmt w:val="decimal"/>
      <w:pStyle w:val="Heading1"/>
      <w:lvlText w:val="%1."/>
      <w:lvlJc w:val="left"/>
      <w:pPr>
        <w:ind w:left="720" w:hanging="720"/>
      </w:pPr>
      <w:rPr>
        <w:rFonts w:hint="default"/>
      </w:rPr>
    </w:lvl>
    <w:lvl w:ilvl="1">
      <w:start w:val="1"/>
      <w:numFmt w:val="decimal"/>
      <w:pStyle w:val="Heading2"/>
      <w:isLgl/>
      <w:lvlText w:val="%1.%2"/>
      <w:lvlJc w:val="left"/>
      <w:pPr>
        <w:ind w:left="567" w:hanging="567"/>
      </w:pPr>
      <w:rPr>
        <w:rFonts w:hint="default"/>
      </w:rPr>
    </w:lvl>
    <w:lvl w:ilvl="2">
      <w:start w:val="1"/>
      <w:numFmt w:val="decimal"/>
      <w:pStyle w:val="Heading3"/>
      <w:isLgl/>
      <w:lvlText w:val="%1.%2.%3"/>
      <w:lvlJc w:val="left"/>
      <w:pPr>
        <w:ind w:left="567" w:hanging="56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89B01B2"/>
    <w:multiLevelType w:val="multilevel"/>
    <w:tmpl w:val="3800B868"/>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8F21671"/>
    <w:multiLevelType w:val="hybridMultilevel"/>
    <w:tmpl w:val="49FA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FA3AA5"/>
    <w:multiLevelType w:val="hybridMultilevel"/>
    <w:tmpl w:val="2EF00F4A"/>
    <w:lvl w:ilvl="0" w:tplc="2AB0EE8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D64DFF"/>
    <w:multiLevelType w:val="multilevel"/>
    <w:tmpl w:val="E3443E18"/>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2D56E9"/>
    <w:multiLevelType w:val="hybridMultilevel"/>
    <w:tmpl w:val="07103A1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23361E"/>
    <w:multiLevelType w:val="hybridMultilevel"/>
    <w:tmpl w:val="AE30EE78"/>
    <w:lvl w:ilvl="0" w:tplc="2AB0EE8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253FF"/>
    <w:multiLevelType w:val="hybridMultilevel"/>
    <w:tmpl w:val="33A0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D644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31" w15:restartNumberingAfterBreak="0">
    <w:nsid w:val="5CFD2BF6"/>
    <w:multiLevelType w:val="multilevel"/>
    <w:tmpl w:val="F5347A44"/>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B164D0"/>
    <w:multiLevelType w:val="hybridMultilevel"/>
    <w:tmpl w:val="A63824C2"/>
    <w:lvl w:ilvl="0" w:tplc="2AB0EE8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B1561"/>
    <w:multiLevelType w:val="multilevel"/>
    <w:tmpl w:val="BB6E025A"/>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0029EF"/>
    <w:multiLevelType w:val="hybridMultilevel"/>
    <w:tmpl w:val="0B9A6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E4B0E"/>
    <w:multiLevelType w:val="multilevel"/>
    <w:tmpl w:val="010CA898"/>
    <w:lvl w:ilvl="0">
      <w:start w:val="1"/>
      <w:numFmt w:val="decimal"/>
      <w:lvlText w:val="%1."/>
      <w:lvlJc w:val="left"/>
      <w:pPr>
        <w:ind w:left="720" w:hanging="720"/>
      </w:pPr>
      <w:rPr>
        <w:rFonts w:hint="default"/>
      </w:rPr>
    </w:lvl>
    <w:lvl w:ilvl="1">
      <w:start w:val="1"/>
      <w:numFmt w:val="decimal"/>
      <w:pStyle w:val="Level1subheadingHeading2"/>
      <w:isLgl/>
      <w:lvlText w:val="%1.%2"/>
      <w:lvlJc w:val="left"/>
      <w:pPr>
        <w:ind w:left="1080" w:hanging="720"/>
      </w:pPr>
      <w:rPr>
        <w:rFonts w:hint="default"/>
      </w:rPr>
    </w:lvl>
    <w:lvl w:ilvl="2">
      <w:start w:val="1"/>
      <w:numFmt w:val="decimal"/>
      <w:pStyle w:val="Level2subheading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521CB2"/>
    <w:multiLevelType w:val="hybridMultilevel"/>
    <w:tmpl w:val="18E2E782"/>
    <w:lvl w:ilvl="0" w:tplc="2AB0EE8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2447C"/>
    <w:multiLevelType w:val="hybridMultilevel"/>
    <w:tmpl w:val="093C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A6373"/>
    <w:multiLevelType w:val="hybridMultilevel"/>
    <w:tmpl w:val="D814F5C0"/>
    <w:lvl w:ilvl="0" w:tplc="F080E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166BC3"/>
    <w:multiLevelType w:val="hybridMultilevel"/>
    <w:tmpl w:val="CA9E89B8"/>
    <w:lvl w:ilvl="0" w:tplc="2AB0EE8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23"/>
  </w:num>
  <w:num w:numId="2">
    <w:abstractNumId w:val="15"/>
  </w:num>
  <w:num w:numId="3">
    <w:abstractNumId w:val="30"/>
  </w:num>
  <w:num w:numId="4">
    <w:abstractNumId w:val="11"/>
  </w:num>
  <w:num w:numId="5">
    <w:abstractNumId w:val="41"/>
  </w:num>
  <w:num w:numId="6">
    <w:abstractNumId w:val="13"/>
  </w:num>
  <w:num w:numId="7">
    <w:abstractNumId w:val="28"/>
  </w:num>
  <w:num w:numId="8">
    <w:abstractNumId w:val="37"/>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9"/>
  </w:num>
  <w:num w:numId="23">
    <w:abstractNumId w:val="14"/>
  </w:num>
  <w:num w:numId="24">
    <w:abstractNumId w:val="12"/>
  </w:num>
  <w:num w:numId="25">
    <w:abstractNumId w:val="36"/>
  </w:num>
  <w:num w:numId="26">
    <w:abstractNumId w:val="17"/>
  </w:num>
  <w:num w:numId="27">
    <w:abstractNumId w:val="22"/>
  </w:num>
  <w:num w:numId="28">
    <w:abstractNumId w:val="40"/>
  </w:num>
  <w:num w:numId="29">
    <w:abstractNumId w:val="25"/>
  </w:num>
  <w:num w:numId="30">
    <w:abstractNumId w:val="34"/>
  </w:num>
  <w:num w:numId="31">
    <w:abstractNumId w:val="16"/>
  </w:num>
  <w:num w:numId="32">
    <w:abstractNumId w:val="38"/>
  </w:num>
  <w:num w:numId="33">
    <w:abstractNumId w:val="20"/>
  </w:num>
  <w:num w:numId="34">
    <w:abstractNumId w:val="24"/>
  </w:num>
  <w:num w:numId="35">
    <w:abstractNumId w:val="27"/>
  </w:num>
  <w:num w:numId="36">
    <w:abstractNumId w:val="10"/>
  </w:num>
  <w:num w:numId="37">
    <w:abstractNumId w:val="23"/>
    <w:lvlOverride w:ilvl="0">
      <w:startOverride w:val="3"/>
    </w:lvlOverride>
    <w:lvlOverride w:ilvl="1">
      <w:startOverride w:val="2"/>
    </w:lvlOverride>
  </w:num>
  <w:num w:numId="38">
    <w:abstractNumId w:val="23"/>
    <w:lvlOverride w:ilvl="0">
      <w:startOverride w:val="3"/>
    </w:lvlOverride>
    <w:lvlOverride w:ilvl="1">
      <w:startOverride w:val="21"/>
    </w:lvlOverride>
  </w:num>
  <w:num w:numId="39">
    <w:abstractNumId w:val="23"/>
    <w:lvlOverride w:ilvl="0">
      <w:startOverride w:val="3"/>
    </w:lvlOverride>
    <w:lvlOverride w:ilvl="1">
      <w:startOverride w:val="2"/>
    </w:lvlOverride>
  </w:num>
  <w:num w:numId="40">
    <w:abstractNumId w:val="32"/>
  </w:num>
  <w:num w:numId="41">
    <w:abstractNumId w:val="23"/>
    <w:lvlOverride w:ilvl="0">
      <w:startOverride w:val="3"/>
    </w:lvlOverride>
    <w:lvlOverride w:ilvl="1">
      <w:startOverride w:val="3"/>
    </w:lvlOverride>
  </w:num>
  <w:num w:numId="42">
    <w:abstractNumId w:val="31"/>
  </w:num>
  <w:num w:numId="43">
    <w:abstractNumId w:val="19"/>
  </w:num>
  <w:num w:numId="44">
    <w:abstractNumId w:val="33"/>
  </w:num>
  <w:num w:numId="45">
    <w:abstractNumId w:val="33"/>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6">
    <w:abstractNumId w:val="35"/>
  </w:num>
  <w:num w:numId="47">
    <w:abstractNumId w:val="35"/>
    <w:lvlOverride w:ilvl="0">
      <w:lvl w:ilvl="0">
        <w:start w:val="1"/>
        <w:numFmt w:val="decimal"/>
        <w:lvlText w:val="%1."/>
        <w:lvlJc w:val="left"/>
        <w:pPr>
          <w:ind w:left="720" w:hanging="720"/>
        </w:pPr>
        <w:rPr>
          <w:rFonts w:hint="default"/>
        </w:rPr>
      </w:lvl>
    </w:lvlOverride>
    <w:lvlOverride w:ilvl="1">
      <w:lvl w:ilvl="1">
        <w:start w:val="1"/>
        <w:numFmt w:val="decimal"/>
        <w:pStyle w:val="Level1subheadingHeading2"/>
        <w:isLgl/>
        <w:lvlText w:val="%1.%2"/>
        <w:lvlJc w:val="left"/>
        <w:pPr>
          <w:ind w:left="1080" w:hanging="720"/>
        </w:pPr>
        <w:rPr>
          <w:rFonts w:hint="default"/>
        </w:rPr>
      </w:lvl>
    </w:lvlOverride>
    <w:lvlOverride w:ilvl="2">
      <w:lvl w:ilvl="2">
        <w:start w:val="1"/>
        <w:numFmt w:val="decimal"/>
        <w:pStyle w:val="Level2subheadingHeading3"/>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8"/>
    <w:lvlOverride w:ilvl="0">
      <w:lvl w:ilvl="0">
        <w:start w:val="1"/>
        <w:numFmt w:val="decimal"/>
        <w:pStyle w:val="Heading1"/>
        <w:lvlText w:val="%1."/>
        <w:lvlJc w:val="left"/>
        <w:pPr>
          <w:ind w:left="720" w:hanging="720"/>
        </w:pPr>
        <w:rPr>
          <w:rFonts w:hint="default"/>
        </w:rPr>
      </w:lvl>
    </w:lvlOverride>
    <w:lvlOverride w:ilvl="1">
      <w:lvl w:ilvl="1">
        <w:start w:val="1"/>
        <w:numFmt w:val="decimal"/>
        <w:pStyle w:val="Heading2"/>
        <w:isLgl/>
        <w:lvlText w:val="%1.%2"/>
        <w:lvlJc w:val="left"/>
        <w:pPr>
          <w:ind w:left="1080" w:hanging="1080"/>
        </w:pPr>
        <w:rPr>
          <w:rFonts w:hint="default"/>
        </w:rPr>
      </w:lvl>
    </w:lvlOverride>
    <w:lvlOverride w:ilvl="2">
      <w:lvl w:ilvl="2">
        <w:start w:val="1"/>
        <w:numFmt w:val="decimal"/>
        <w:pStyle w:val="Heading3"/>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1">
    <w:abstractNumId w:val="18"/>
    <w:lvlOverride w:ilvl="0">
      <w:lvl w:ilvl="0">
        <w:start w:val="1"/>
        <w:numFmt w:val="decimal"/>
        <w:pStyle w:val="Heading1"/>
        <w:lvlText w:val="%1."/>
        <w:lvlJc w:val="left"/>
        <w:pPr>
          <w:ind w:left="720" w:hanging="720"/>
        </w:pPr>
        <w:rPr>
          <w:rFonts w:hint="default"/>
        </w:rPr>
      </w:lvl>
    </w:lvlOverride>
    <w:lvlOverride w:ilvl="1">
      <w:lvl w:ilvl="1">
        <w:start w:val="1"/>
        <w:numFmt w:val="decimal"/>
        <w:pStyle w:val="Heading2"/>
        <w:isLgl/>
        <w:lvlText w:val="%1.%2"/>
        <w:lvlJc w:val="left"/>
        <w:pPr>
          <w:ind w:left="567" w:hanging="567"/>
        </w:pPr>
        <w:rPr>
          <w:rFonts w:hint="default"/>
        </w:rPr>
      </w:lvl>
    </w:lvlOverride>
    <w:lvlOverride w:ilvl="2">
      <w:lvl w:ilvl="2">
        <w:start w:val="1"/>
        <w:numFmt w:val="decimal"/>
        <w:pStyle w:val="Heading3"/>
        <w:isLgl/>
        <w:lvlText w:val="%1.%2.%3"/>
        <w:lvlJc w:val="left"/>
        <w:pPr>
          <w:ind w:left="567" w:hanging="567"/>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2">
    <w:abstractNumId w:val="26"/>
  </w:num>
  <w:num w:numId="53">
    <w:abstractNumId w:val="21"/>
  </w:num>
  <w:num w:numId="54">
    <w:abstractNumId w:val="18"/>
  </w:num>
  <w:num w:numId="55">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42"/>
    <w:rsid w:val="000034AD"/>
    <w:rsid w:val="00003798"/>
    <w:rsid w:val="00003C56"/>
    <w:rsid w:val="00005B71"/>
    <w:rsid w:val="0001349B"/>
    <w:rsid w:val="00015F81"/>
    <w:rsid w:val="00016A62"/>
    <w:rsid w:val="00020BA4"/>
    <w:rsid w:val="0002426C"/>
    <w:rsid w:val="00030216"/>
    <w:rsid w:val="00031404"/>
    <w:rsid w:val="000343C9"/>
    <w:rsid w:val="000418DB"/>
    <w:rsid w:val="0004306A"/>
    <w:rsid w:val="000451F0"/>
    <w:rsid w:val="00045C00"/>
    <w:rsid w:val="000476BA"/>
    <w:rsid w:val="000514B2"/>
    <w:rsid w:val="000571D3"/>
    <w:rsid w:val="000608FF"/>
    <w:rsid w:val="000619DC"/>
    <w:rsid w:val="0006239B"/>
    <w:rsid w:val="000638DB"/>
    <w:rsid w:val="00065849"/>
    <w:rsid w:val="00067AFA"/>
    <w:rsid w:val="000709BB"/>
    <w:rsid w:val="00070FE5"/>
    <w:rsid w:val="00072752"/>
    <w:rsid w:val="00072E0A"/>
    <w:rsid w:val="00075828"/>
    <w:rsid w:val="0007628C"/>
    <w:rsid w:val="00077AD5"/>
    <w:rsid w:val="00081578"/>
    <w:rsid w:val="00082C70"/>
    <w:rsid w:val="0008420A"/>
    <w:rsid w:val="00090281"/>
    <w:rsid w:val="00090AAE"/>
    <w:rsid w:val="00091612"/>
    <w:rsid w:val="00094C7E"/>
    <w:rsid w:val="000A41CE"/>
    <w:rsid w:val="000A5C99"/>
    <w:rsid w:val="000A6FAF"/>
    <w:rsid w:val="000B0AB0"/>
    <w:rsid w:val="000B1C2E"/>
    <w:rsid w:val="000B30A4"/>
    <w:rsid w:val="000B4FAB"/>
    <w:rsid w:val="000C2583"/>
    <w:rsid w:val="000C47F2"/>
    <w:rsid w:val="000C5748"/>
    <w:rsid w:val="000D0828"/>
    <w:rsid w:val="000D0BB8"/>
    <w:rsid w:val="000D55EF"/>
    <w:rsid w:val="000D56FA"/>
    <w:rsid w:val="000D5C18"/>
    <w:rsid w:val="000E30B0"/>
    <w:rsid w:val="000E44E2"/>
    <w:rsid w:val="000E6A3C"/>
    <w:rsid w:val="000E6DD9"/>
    <w:rsid w:val="000E7B9E"/>
    <w:rsid w:val="000F161D"/>
    <w:rsid w:val="000F1EDE"/>
    <w:rsid w:val="000F3669"/>
    <w:rsid w:val="000F4376"/>
    <w:rsid w:val="000F49B3"/>
    <w:rsid w:val="000F6536"/>
    <w:rsid w:val="00100994"/>
    <w:rsid w:val="00102237"/>
    <w:rsid w:val="001033FE"/>
    <w:rsid w:val="0010448B"/>
    <w:rsid w:val="00106158"/>
    <w:rsid w:val="00117A88"/>
    <w:rsid w:val="00121A17"/>
    <w:rsid w:val="0012410C"/>
    <w:rsid w:val="001317B7"/>
    <w:rsid w:val="00134821"/>
    <w:rsid w:val="00134D8E"/>
    <w:rsid w:val="00136965"/>
    <w:rsid w:val="00142F24"/>
    <w:rsid w:val="001453D4"/>
    <w:rsid w:val="00146305"/>
    <w:rsid w:val="00150EB4"/>
    <w:rsid w:val="0015201A"/>
    <w:rsid w:val="00152E20"/>
    <w:rsid w:val="0015324F"/>
    <w:rsid w:val="001565FE"/>
    <w:rsid w:val="0015743D"/>
    <w:rsid w:val="001606E0"/>
    <w:rsid w:val="0016136E"/>
    <w:rsid w:val="00162FA3"/>
    <w:rsid w:val="00165D14"/>
    <w:rsid w:val="0016723D"/>
    <w:rsid w:val="001677AD"/>
    <w:rsid w:val="001677CB"/>
    <w:rsid w:val="00170C40"/>
    <w:rsid w:val="001721F2"/>
    <w:rsid w:val="0017470B"/>
    <w:rsid w:val="001758EC"/>
    <w:rsid w:val="00177F91"/>
    <w:rsid w:val="00182D80"/>
    <w:rsid w:val="00183C95"/>
    <w:rsid w:val="0018432B"/>
    <w:rsid w:val="00184CE1"/>
    <w:rsid w:val="001855DA"/>
    <w:rsid w:val="00187994"/>
    <w:rsid w:val="00187B68"/>
    <w:rsid w:val="00192FAC"/>
    <w:rsid w:val="001943DC"/>
    <w:rsid w:val="001944C9"/>
    <w:rsid w:val="001965F9"/>
    <w:rsid w:val="00196A93"/>
    <w:rsid w:val="001A22B6"/>
    <w:rsid w:val="001A2D62"/>
    <w:rsid w:val="001A46BA"/>
    <w:rsid w:val="001A6667"/>
    <w:rsid w:val="001B1770"/>
    <w:rsid w:val="001B2176"/>
    <w:rsid w:val="001B2509"/>
    <w:rsid w:val="001B33CC"/>
    <w:rsid w:val="001B49B6"/>
    <w:rsid w:val="001B5319"/>
    <w:rsid w:val="001C0089"/>
    <w:rsid w:val="001C16F1"/>
    <w:rsid w:val="001C193E"/>
    <w:rsid w:val="001C2BD8"/>
    <w:rsid w:val="001D40C3"/>
    <w:rsid w:val="001D5D9D"/>
    <w:rsid w:val="001E0B00"/>
    <w:rsid w:val="001E24EA"/>
    <w:rsid w:val="001E383C"/>
    <w:rsid w:val="001E4249"/>
    <w:rsid w:val="001E6929"/>
    <w:rsid w:val="001F0BA8"/>
    <w:rsid w:val="001F2383"/>
    <w:rsid w:val="001F249A"/>
    <w:rsid w:val="001F44D7"/>
    <w:rsid w:val="001F599F"/>
    <w:rsid w:val="001F605C"/>
    <w:rsid w:val="001F67FA"/>
    <w:rsid w:val="00200476"/>
    <w:rsid w:val="0020192A"/>
    <w:rsid w:val="00203AEB"/>
    <w:rsid w:val="00210CFF"/>
    <w:rsid w:val="00211DDF"/>
    <w:rsid w:val="00211EB3"/>
    <w:rsid w:val="002161C9"/>
    <w:rsid w:val="00222D94"/>
    <w:rsid w:val="0022344C"/>
    <w:rsid w:val="00231702"/>
    <w:rsid w:val="002357F7"/>
    <w:rsid w:val="00236AA2"/>
    <w:rsid w:val="002376F3"/>
    <w:rsid w:val="0024177C"/>
    <w:rsid w:val="00242216"/>
    <w:rsid w:val="002424D4"/>
    <w:rsid w:val="00251BB8"/>
    <w:rsid w:val="00251E29"/>
    <w:rsid w:val="00252A9B"/>
    <w:rsid w:val="00254041"/>
    <w:rsid w:val="00254932"/>
    <w:rsid w:val="00260B83"/>
    <w:rsid w:val="002658CA"/>
    <w:rsid w:val="0026697B"/>
    <w:rsid w:val="00267F7B"/>
    <w:rsid w:val="00275710"/>
    <w:rsid w:val="002829DB"/>
    <w:rsid w:val="00283761"/>
    <w:rsid w:val="00283D8C"/>
    <w:rsid w:val="00284C6E"/>
    <w:rsid w:val="00285942"/>
    <w:rsid w:val="002863B6"/>
    <w:rsid w:val="00290A84"/>
    <w:rsid w:val="002943B7"/>
    <w:rsid w:val="00296EA0"/>
    <w:rsid w:val="002A0870"/>
    <w:rsid w:val="002A1766"/>
    <w:rsid w:val="002A216C"/>
    <w:rsid w:val="002A46ED"/>
    <w:rsid w:val="002A5A10"/>
    <w:rsid w:val="002A5AD9"/>
    <w:rsid w:val="002B2741"/>
    <w:rsid w:val="002C05FF"/>
    <w:rsid w:val="002C20B7"/>
    <w:rsid w:val="002C2DF7"/>
    <w:rsid w:val="002C4FA1"/>
    <w:rsid w:val="002C5747"/>
    <w:rsid w:val="002C7A3A"/>
    <w:rsid w:val="002E0EC9"/>
    <w:rsid w:val="002E23BE"/>
    <w:rsid w:val="002E25BD"/>
    <w:rsid w:val="002E3D30"/>
    <w:rsid w:val="002F0BBC"/>
    <w:rsid w:val="002F1749"/>
    <w:rsid w:val="002F1EEA"/>
    <w:rsid w:val="002F2338"/>
    <w:rsid w:val="002F3900"/>
    <w:rsid w:val="002F39BD"/>
    <w:rsid w:val="002F3FC6"/>
    <w:rsid w:val="002F4137"/>
    <w:rsid w:val="002F5392"/>
    <w:rsid w:val="00302694"/>
    <w:rsid w:val="003038C2"/>
    <w:rsid w:val="00304052"/>
    <w:rsid w:val="003045A5"/>
    <w:rsid w:val="003061D2"/>
    <w:rsid w:val="00306C4B"/>
    <w:rsid w:val="00310D00"/>
    <w:rsid w:val="0031485F"/>
    <w:rsid w:val="003149DD"/>
    <w:rsid w:val="0032072B"/>
    <w:rsid w:val="003253CF"/>
    <w:rsid w:val="00326DAF"/>
    <w:rsid w:val="00331B41"/>
    <w:rsid w:val="00332631"/>
    <w:rsid w:val="003359BB"/>
    <w:rsid w:val="003425F2"/>
    <w:rsid w:val="00342B04"/>
    <w:rsid w:val="0034422A"/>
    <w:rsid w:val="003442FC"/>
    <w:rsid w:val="00345749"/>
    <w:rsid w:val="003461C1"/>
    <w:rsid w:val="003477DD"/>
    <w:rsid w:val="00347F6A"/>
    <w:rsid w:val="003516BE"/>
    <w:rsid w:val="00351AD1"/>
    <w:rsid w:val="00354462"/>
    <w:rsid w:val="00363BC5"/>
    <w:rsid w:val="00364A66"/>
    <w:rsid w:val="0036515D"/>
    <w:rsid w:val="00371C77"/>
    <w:rsid w:val="00372351"/>
    <w:rsid w:val="00374B7D"/>
    <w:rsid w:val="003756A8"/>
    <w:rsid w:val="00375BCC"/>
    <w:rsid w:val="00375D68"/>
    <w:rsid w:val="00383C69"/>
    <w:rsid w:val="0038568E"/>
    <w:rsid w:val="0038692C"/>
    <w:rsid w:val="003901D3"/>
    <w:rsid w:val="00391B14"/>
    <w:rsid w:val="00392E9E"/>
    <w:rsid w:val="003935E6"/>
    <w:rsid w:val="00397BA4"/>
    <w:rsid w:val="00397DB2"/>
    <w:rsid w:val="00397E22"/>
    <w:rsid w:val="003A4BED"/>
    <w:rsid w:val="003A556D"/>
    <w:rsid w:val="003A7130"/>
    <w:rsid w:val="003B1A0B"/>
    <w:rsid w:val="003B51F2"/>
    <w:rsid w:val="003B53BD"/>
    <w:rsid w:val="003C1836"/>
    <w:rsid w:val="003C1DF0"/>
    <w:rsid w:val="003C3106"/>
    <w:rsid w:val="003C4AA3"/>
    <w:rsid w:val="003C6243"/>
    <w:rsid w:val="003D22F9"/>
    <w:rsid w:val="003D4B63"/>
    <w:rsid w:val="003D6B4C"/>
    <w:rsid w:val="003D7C52"/>
    <w:rsid w:val="003E2751"/>
    <w:rsid w:val="003E558E"/>
    <w:rsid w:val="00400B31"/>
    <w:rsid w:val="00401BF8"/>
    <w:rsid w:val="00401C96"/>
    <w:rsid w:val="00402BA3"/>
    <w:rsid w:val="00404012"/>
    <w:rsid w:val="00404C8C"/>
    <w:rsid w:val="0040725F"/>
    <w:rsid w:val="004119B6"/>
    <w:rsid w:val="0041281E"/>
    <w:rsid w:val="0041393B"/>
    <w:rsid w:val="0041493F"/>
    <w:rsid w:val="00414A08"/>
    <w:rsid w:val="004170C6"/>
    <w:rsid w:val="00424EEC"/>
    <w:rsid w:val="004256F4"/>
    <w:rsid w:val="00425DF0"/>
    <w:rsid w:val="00433E0F"/>
    <w:rsid w:val="004350DF"/>
    <w:rsid w:val="004351EE"/>
    <w:rsid w:val="004356BB"/>
    <w:rsid w:val="0043667E"/>
    <w:rsid w:val="00436897"/>
    <w:rsid w:val="004371AB"/>
    <w:rsid w:val="00441373"/>
    <w:rsid w:val="00441470"/>
    <w:rsid w:val="00441D82"/>
    <w:rsid w:val="00443AB1"/>
    <w:rsid w:val="004463BD"/>
    <w:rsid w:val="00452B54"/>
    <w:rsid w:val="004626EA"/>
    <w:rsid w:val="00463094"/>
    <w:rsid w:val="00464D57"/>
    <w:rsid w:val="00466069"/>
    <w:rsid w:val="00466A9C"/>
    <w:rsid w:val="00470F9D"/>
    <w:rsid w:val="00471CC6"/>
    <w:rsid w:val="0048046D"/>
    <w:rsid w:val="0048237F"/>
    <w:rsid w:val="004916C6"/>
    <w:rsid w:val="004952A9"/>
    <w:rsid w:val="00495781"/>
    <w:rsid w:val="00495B1C"/>
    <w:rsid w:val="004A1A27"/>
    <w:rsid w:val="004B01B1"/>
    <w:rsid w:val="004B2999"/>
    <w:rsid w:val="004B676D"/>
    <w:rsid w:val="004C052E"/>
    <w:rsid w:val="004C2A99"/>
    <w:rsid w:val="004C566F"/>
    <w:rsid w:val="004C684E"/>
    <w:rsid w:val="004C6A0D"/>
    <w:rsid w:val="004C735C"/>
    <w:rsid w:val="004D00F1"/>
    <w:rsid w:val="004D380A"/>
    <w:rsid w:val="004D5F54"/>
    <w:rsid w:val="004D7BE4"/>
    <w:rsid w:val="004E0D05"/>
    <w:rsid w:val="004E1DB7"/>
    <w:rsid w:val="004E2065"/>
    <w:rsid w:val="004E2A55"/>
    <w:rsid w:val="004E536E"/>
    <w:rsid w:val="004E7A3F"/>
    <w:rsid w:val="004E7EF3"/>
    <w:rsid w:val="004F013F"/>
    <w:rsid w:val="004F2116"/>
    <w:rsid w:val="004F458B"/>
    <w:rsid w:val="004F71DA"/>
    <w:rsid w:val="00501AF8"/>
    <w:rsid w:val="00502ED1"/>
    <w:rsid w:val="00505EB2"/>
    <w:rsid w:val="00506FA2"/>
    <w:rsid w:val="005160AB"/>
    <w:rsid w:val="00516FA0"/>
    <w:rsid w:val="00517881"/>
    <w:rsid w:val="005254E2"/>
    <w:rsid w:val="00525EA0"/>
    <w:rsid w:val="00526D76"/>
    <w:rsid w:val="0052762D"/>
    <w:rsid w:val="00530099"/>
    <w:rsid w:val="00530822"/>
    <w:rsid w:val="00531314"/>
    <w:rsid w:val="00531662"/>
    <w:rsid w:val="005331F9"/>
    <w:rsid w:val="00536F6E"/>
    <w:rsid w:val="005422A5"/>
    <w:rsid w:val="005474E1"/>
    <w:rsid w:val="00547514"/>
    <w:rsid w:val="00551EEE"/>
    <w:rsid w:val="00552405"/>
    <w:rsid w:val="00552455"/>
    <w:rsid w:val="00552DED"/>
    <w:rsid w:val="00554352"/>
    <w:rsid w:val="00554542"/>
    <w:rsid w:val="005548BA"/>
    <w:rsid w:val="005552CE"/>
    <w:rsid w:val="005613A7"/>
    <w:rsid w:val="0056253E"/>
    <w:rsid w:val="00566244"/>
    <w:rsid w:val="00571CFF"/>
    <w:rsid w:val="00571E51"/>
    <w:rsid w:val="00573E99"/>
    <w:rsid w:val="00574192"/>
    <w:rsid w:val="00574C53"/>
    <w:rsid w:val="00583C70"/>
    <w:rsid w:val="00590050"/>
    <w:rsid w:val="00591CAF"/>
    <w:rsid w:val="005964DD"/>
    <w:rsid w:val="00596A63"/>
    <w:rsid w:val="00597B0B"/>
    <w:rsid w:val="005A0726"/>
    <w:rsid w:val="005A2125"/>
    <w:rsid w:val="005A2E4F"/>
    <w:rsid w:val="005A3D34"/>
    <w:rsid w:val="005A3F5D"/>
    <w:rsid w:val="005A4342"/>
    <w:rsid w:val="005A5288"/>
    <w:rsid w:val="005A6FFF"/>
    <w:rsid w:val="005A75F3"/>
    <w:rsid w:val="005B08A7"/>
    <w:rsid w:val="005B3D6B"/>
    <w:rsid w:val="005C1E7F"/>
    <w:rsid w:val="005C2428"/>
    <w:rsid w:val="005C31B4"/>
    <w:rsid w:val="005C3B4C"/>
    <w:rsid w:val="005D1AC4"/>
    <w:rsid w:val="005D2C21"/>
    <w:rsid w:val="005D3A1E"/>
    <w:rsid w:val="005D5849"/>
    <w:rsid w:val="005D6668"/>
    <w:rsid w:val="005D72AA"/>
    <w:rsid w:val="005E33A8"/>
    <w:rsid w:val="005E3DF9"/>
    <w:rsid w:val="005F15F0"/>
    <w:rsid w:val="005F1E4F"/>
    <w:rsid w:val="005F7C87"/>
    <w:rsid w:val="00600B8A"/>
    <w:rsid w:val="006015AB"/>
    <w:rsid w:val="006037D0"/>
    <w:rsid w:val="006056A4"/>
    <w:rsid w:val="006073C8"/>
    <w:rsid w:val="0060781C"/>
    <w:rsid w:val="00611E36"/>
    <w:rsid w:val="00612C6F"/>
    <w:rsid w:val="006147BC"/>
    <w:rsid w:val="00615163"/>
    <w:rsid w:val="00616A07"/>
    <w:rsid w:val="00620403"/>
    <w:rsid w:val="00621456"/>
    <w:rsid w:val="00622F14"/>
    <w:rsid w:val="006240A4"/>
    <w:rsid w:val="006256BB"/>
    <w:rsid w:val="00626B3A"/>
    <w:rsid w:val="00633F6B"/>
    <w:rsid w:val="006365EF"/>
    <w:rsid w:val="00636763"/>
    <w:rsid w:val="00641531"/>
    <w:rsid w:val="00644440"/>
    <w:rsid w:val="006446A3"/>
    <w:rsid w:val="00645F6C"/>
    <w:rsid w:val="0064753C"/>
    <w:rsid w:val="00647909"/>
    <w:rsid w:val="0064797F"/>
    <w:rsid w:val="0065346A"/>
    <w:rsid w:val="0065625F"/>
    <w:rsid w:val="00656534"/>
    <w:rsid w:val="00660B11"/>
    <w:rsid w:val="00661BA9"/>
    <w:rsid w:val="0066212E"/>
    <w:rsid w:val="00667A8B"/>
    <w:rsid w:val="006707FE"/>
    <w:rsid w:val="0067326B"/>
    <w:rsid w:val="00677CF0"/>
    <w:rsid w:val="0068082B"/>
    <w:rsid w:val="006818FC"/>
    <w:rsid w:val="00687160"/>
    <w:rsid w:val="00687D31"/>
    <w:rsid w:val="0069226B"/>
    <w:rsid w:val="00692A8C"/>
    <w:rsid w:val="00693231"/>
    <w:rsid w:val="0069386E"/>
    <w:rsid w:val="00693BAE"/>
    <w:rsid w:val="006A119F"/>
    <w:rsid w:val="006A172D"/>
    <w:rsid w:val="006A3A9F"/>
    <w:rsid w:val="006A3F94"/>
    <w:rsid w:val="006A3FE0"/>
    <w:rsid w:val="006A5954"/>
    <w:rsid w:val="006A7CF4"/>
    <w:rsid w:val="006B07E8"/>
    <w:rsid w:val="006B1076"/>
    <w:rsid w:val="006B1B0C"/>
    <w:rsid w:val="006C12AC"/>
    <w:rsid w:val="006C2998"/>
    <w:rsid w:val="006C31A1"/>
    <w:rsid w:val="006C5B34"/>
    <w:rsid w:val="006C6A41"/>
    <w:rsid w:val="006D1654"/>
    <w:rsid w:val="006D1B46"/>
    <w:rsid w:val="006D2751"/>
    <w:rsid w:val="006D3E3A"/>
    <w:rsid w:val="006E2221"/>
    <w:rsid w:val="006E3192"/>
    <w:rsid w:val="006E3C5A"/>
    <w:rsid w:val="006E4448"/>
    <w:rsid w:val="006E53D7"/>
    <w:rsid w:val="006E5440"/>
    <w:rsid w:val="006E5908"/>
    <w:rsid w:val="006E7A14"/>
    <w:rsid w:val="006F1262"/>
    <w:rsid w:val="006F2C39"/>
    <w:rsid w:val="006F439F"/>
    <w:rsid w:val="006F5CE8"/>
    <w:rsid w:val="007009B6"/>
    <w:rsid w:val="00712849"/>
    <w:rsid w:val="00717CF8"/>
    <w:rsid w:val="00721843"/>
    <w:rsid w:val="0072318D"/>
    <w:rsid w:val="00726D46"/>
    <w:rsid w:val="00730642"/>
    <w:rsid w:val="007308B2"/>
    <w:rsid w:val="00730DF8"/>
    <w:rsid w:val="00731D2C"/>
    <w:rsid w:val="00732ACB"/>
    <w:rsid w:val="00735F06"/>
    <w:rsid w:val="00736B8D"/>
    <w:rsid w:val="00744B12"/>
    <w:rsid w:val="00746E0F"/>
    <w:rsid w:val="00747040"/>
    <w:rsid w:val="007516F8"/>
    <w:rsid w:val="00753EFD"/>
    <w:rsid w:val="00756E86"/>
    <w:rsid w:val="00756FFE"/>
    <w:rsid w:val="00757048"/>
    <w:rsid w:val="0075707E"/>
    <w:rsid w:val="007577C0"/>
    <w:rsid w:val="00757B64"/>
    <w:rsid w:val="00762D91"/>
    <w:rsid w:val="00764069"/>
    <w:rsid w:val="00764AC3"/>
    <w:rsid w:val="007703DC"/>
    <w:rsid w:val="00771B4F"/>
    <w:rsid w:val="00772D41"/>
    <w:rsid w:val="00775E81"/>
    <w:rsid w:val="00783398"/>
    <w:rsid w:val="00783DBF"/>
    <w:rsid w:val="007870D5"/>
    <w:rsid w:val="00791DE9"/>
    <w:rsid w:val="007933A3"/>
    <w:rsid w:val="00793FD4"/>
    <w:rsid w:val="00794846"/>
    <w:rsid w:val="007A0139"/>
    <w:rsid w:val="007A035D"/>
    <w:rsid w:val="007A057C"/>
    <w:rsid w:val="007A3F7C"/>
    <w:rsid w:val="007A421E"/>
    <w:rsid w:val="007A4826"/>
    <w:rsid w:val="007A5CA3"/>
    <w:rsid w:val="007A7AAC"/>
    <w:rsid w:val="007B212D"/>
    <w:rsid w:val="007B4454"/>
    <w:rsid w:val="007B4CAA"/>
    <w:rsid w:val="007B6EDA"/>
    <w:rsid w:val="007B7A9B"/>
    <w:rsid w:val="007C00FE"/>
    <w:rsid w:val="007C0309"/>
    <w:rsid w:val="007C22DD"/>
    <w:rsid w:val="007C281E"/>
    <w:rsid w:val="007C2C93"/>
    <w:rsid w:val="007C55A4"/>
    <w:rsid w:val="007C5DCC"/>
    <w:rsid w:val="007D0379"/>
    <w:rsid w:val="007D1CB7"/>
    <w:rsid w:val="007D6BDB"/>
    <w:rsid w:val="007E016C"/>
    <w:rsid w:val="007E0262"/>
    <w:rsid w:val="007E237F"/>
    <w:rsid w:val="007E2D21"/>
    <w:rsid w:val="007E4A9F"/>
    <w:rsid w:val="007E58E4"/>
    <w:rsid w:val="007E638F"/>
    <w:rsid w:val="007E68F9"/>
    <w:rsid w:val="007E6ECB"/>
    <w:rsid w:val="007F13D8"/>
    <w:rsid w:val="007F2AF2"/>
    <w:rsid w:val="007F2E70"/>
    <w:rsid w:val="007F3FE8"/>
    <w:rsid w:val="007F5F07"/>
    <w:rsid w:val="007F7E8F"/>
    <w:rsid w:val="0080165E"/>
    <w:rsid w:val="008020EA"/>
    <w:rsid w:val="00803798"/>
    <w:rsid w:val="00811344"/>
    <w:rsid w:val="00812F8D"/>
    <w:rsid w:val="00815870"/>
    <w:rsid w:val="008206CD"/>
    <w:rsid w:val="008208B6"/>
    <w:rsid w:val="00820CE3"/>
    <w:rsid w:val="00822062"/>
    <w:rsid w:val="00826E91"/>
    <w:rsid w:val="00836714"/>
    <w:rsid w:val="008370E4"/>
    <w:rsid w:val="00844836"/>
    <w:rsid w:val="00844992"/>
    <w:rsid w:val="00847A1D"/>
    <w:rsid w:val="00847AAE"/>
    <w:rsid w:val="00853F4C"/>
    <w:rsid w:val="00855057"/>
    <w:rsid w:val="0085524D"/>
    <w:rsid w:val="0085642F"/>
    <w:rsid w:val="0085667A"/>
    <w:rsid w:val="008579DE"/>
    <w:rsid w:val="00857BC2"/>
    <w:rsid w:val="0086220C"/>
    <w:rsid w:val="00862227"/>
    <w:rsid w:val="00862303"/>
    <w:rsid w:val="008649B8"/>
    <w:rsid w:val="00866284"/>
    <w:rsid w:val="00867E9E"/>
    <w:rsid w:val="00871002"/>
    <w:rsid w:val="008726DE"/>
    <w:rsid w:val="008726FF"/>
    <w:rsid w:val="008738E4"/>
    <w:rsid w:val="00873E9E"/>
    <w:rsid w:val="0087505A"/>
    <w:rsid w:val="00876EF5"/>
    <w:rsid w:val="0087771B"/>
    <w:rsid w:val="0087798A"/>
    <w:rsid w:val="00877D86"/>
    <w:rsid w:val="00881310"/>
    <w:rsid w:val="00881CA8"/>
    <w:rsid w:val="008824FD"/>
    <w:rsid w:val="0088309E"/>
    <w:rsid w:val="008846B4"/>
    <w:rsid w:val="008951DE"/>
    <w:rsid w:val="00895FD8"/>
    <w:rsid w:val="00896BD2"/>
    <w:rsid w:val="0089731C"/>
    <w:rsid w:val="00897C69"/>
    <w:rsid w:val="008A01C2"/>
    <w:rsid w:val="008A1912"/>
    <w:rsid w:val="008A1C3B"/>
    <w:rsid w:val="008A21D7"/>
    <w:rsid w:val="008A3111"/>
    <w:rsid w:val="008B286A"/>
    <w:rsid w:val="008B2F14"/>
    <w:rsid w:val="008B42A6"/>
    <w:rsid w:val="008C0612"/>
    <w:rsid w:val="008C25EA"/>
    <w:rsid w:val="008C284A"/>
    <w:rsid w:val="008D0147"/>
    <w:rsid w:val="008D23B0"/>
    <w:rsid w:val="008D3E5F"/>
    <w:rsid w:val="008D53C8"/>
    <w:rsid w:val="008E07ED"/>
    <w:rsid w:val="008E28FE"/>
    <w:rsid w:val="008E3445"/>
    <w:rsid w:val="008E456F"/>
    <w:rsid w:val="008E5272"/>
    <w:rsid w:val="008F0994"/>
    <w:rsid w:val="008F14C6"/>
    <w:rsid w:val="008F1818"/>
    <w:rsid w:val="008F1A66"/>
    <w:rsid w:val="008F237C"/>
    <w:rsid w:val="008F49AE"/>
    <w:rsid w:val="008F5796"/>
    <w:rsid w:val="008F5E6E"/>
    <w:rsid w:val="008F641A"/>
    <w:rsid w:val="00900F50"/>
    <w:rsid w:val="00901B0B"/>
    <w:rsid w:val="00901F84"/>
    <w:rsid w:val="00904ABE"/>
    <w:rsid w:val="00904AE9"/>
    <w:rsid w:val="00904F87"/>
    <w:rsid w:val="00907A4A"/>
    <w:rsid w:val="00912B99"/>
    <w:rsid w:val="0091330C"/>
    <w:rsid w:val="00914652"/>
    <w:rsid w:val="00921D28"/>
    <w:rsid w:val="00922D1F"/>
    <w:rsid w:val="009245D1"/>
    <w:rsid w:val="00924878"/>
    <w:rsid w:val="00924B33"/>
    <w:rsid w:val="00924B55"/>
    <w:rsid w:val="0092564D"/>
    <w:rsid w:val="00925AEE"/>
    <w:rsid w:val="00930CAF"/>
    <w:rsid w:val="009312A0"/>
    <w:rsid w:val="009320F1"/>
    <w:rsid w:val="00933D6B"/>
    <w:rsid w:val="00934D74"/>
    <w:rsid w:val="00937008"/>
    <w:rsid w:val="00944A8C"/>
    <w:rsid w:val="00946506"/>
    <w:rsid w:val="009503E4"/>
    <w:rsid w:val="0095506F"/>
    <w:rsid w:val="00955FCC"/>
    <w:rsid w:val="009625AD"/>
    <w:rsid w:val="00962B86"/>
    <w:rsid w:val="00964686"/>
    <w:rsid w:val="00964CD2"/>
    <w:rsid w:val="00966251"/>
    <w:rsid w:val="00971D14"/>
    <w:rsid w:val="009732A9"/>
    <w:rsid w:val="00974D13"/>
    <w:rsid w:val="009759B2"/>
    <w:rsid w:val="00976E01"/>
    <w:rsid w:val="00980796"/>
    <w:rsid w:val="00985C0A"/>
    <w:rsid w:val="009931E7"/>
    <w:rsid w:val="009935E2"/>
    <w:rsid w:val="00995272"/>
    <w:rsid w:val="00995656"/>
    <w:rsid w:val="0099665F"/>
    <w:rsid w:val="00997FF3"/>
    <w:rsid w:val="009A1B54"/>
    <w:rsid w:val="009A63DE"/>
    <w:rsid w:val="009B38A0"/>
    <w:rsid w:val="009B4930"/>
    <w:rsid w:val="009B59F6"/>
    <w:rsid w:val="009B76FB"/>
    <w:rsid w:val="009C5D96"/>
    <w:rsid w:val="009D09ED"/>
    <w:rsid w:val="009D1AF9"/>
    <w:rsid w:val="009D399A"/>
    <w:rsid w:val="009D4F90"/>
    <w:rsid w:val="009D70F7"/>
    <w:rsid w:val="009E1370"/>
    <w:rsid w:val="009E14DA"/>
    <w:rsid w:val="009E239B"/>
    <w:rsid w:val="009E3894"/>
    <w:rsid w:val="009E4758"/>
    <w:rsid w:val="009E48C4"/>
    <w:rsid w:val="009E6C75"/>
    <w:rsid w:val="009F3BAB"/>
    <w:rsid w:val="00A014DF"/>
    <w:rsid w:val="00A0259B"/>
    <w:rsid w:val="00A05F09"/>
    <w:rsid w:val="00A07DC7"/>
    <w:rsid w:val="00A112B5"/>
    <w:rsid w:val="00A119A7"/>
    <w:rsid w:val="00A13668"/>
    <w:rsid w:val="00A13712"/>
    <w:rsid w:val="00A2189B"/>
    <w:rsid w:val="00A21E93"/>
    <w:rsid w:val="00A23A1E"/>
    <w:rsid w:val="00A24F07"/>
    <w:rsid w:val="00A26A12"/>
    <w:rsid w:val="00A407D5"/>
    <w:rsid w:val="00A43AC0"/>
    <w:rsid w:val="00A457D0"/>
    <w:rsid w:val="00A476CA"/>
    <w:rsid w:val="00A54644"/>
    <w:rsid w:val="00A56021"/>
    <w:rsid w:val="00A56E31"/>
    <w:rsid w:val="00A61E99"/>
    <w:rsid w:val="00A62793"/>
    <w:rsid w:val="00A62BED"/>
    <w:rsid w:val="00A7261B"/>
    <w:rsid w:val="00A72682"/>
    <w:rsid w:val="00A7280F"/>
    <w:rsid w:val="00A739ED"/>
    <w:rsid w:val="00A75FD0"/>
    <w:rsid w:val="00A76F8E"/>
    <w:rsid w:val="00A81107"/>
    <w:rsid w:val="00A82D52"/>
    <w:rsid w:val="00A85D6F"/>
    <w:rsid w:val="00A8704F"/>
    <w:rsid w:val="00A901C5"/>
    <w:rsid w:val="00A90B2F"/>
    <w:rsid w:val="00A91672"/>
    <w:rsid w:val="00A9367E"/>
    <w:rsid w:val="00A959DB"/>
    <w:rsid w:val="00A95D3C"/>
    <w:rsid w:val="00A9666B"/>
    <w:rsid w:val="00AA12C3"/>
    <w:rsid w:val="00AA1B55"/>
    <w:rsid w:val="00AA318D"/>
    <w:rsid w:val="00AA55B4"/>
    <w:rsid w:val="00AA5732"/>
    <w:rsid w:val="00AA6314"/>
    <w:rsid w:val="00AB13CD"/>
    <w:rsid w:val="00AB1E9C"/>
    <w:rsid w:val="00AB2443"/>
    <w:rsid w:val="00AB2A1A"/>
    <w:rsid w:val="00AB6A08"/>
    <w:rsid w:val="00AB6A15"/>
    <w:rsid w:val="00AB7AC1"/>
    <w:rsid w:val="00AC1347"/>
    <w:rsid w:val="00AC2114"/>
    <w:rsid w:val="00AC22AA"/>
    <w:rsid w:val="00AC25EC"/>
    <w:rsid w:val="00AC40C1"/>
    <w:rsid w:val="00AC6E0A"/>
    <w:rsid w:val="00AD36C3"/>
    <w:rsid w:val="00AD6E72"/>
    <w:rsid w:val="00AD7603"/>
    <w:rsid w:val="00AE3EAA"/>
    <w:rsid w:val="00AE4806"/>
    <w:rsid w:val="00AF2A72"/>
    <w:rsid w:val="00AF357C"/>
    <w:rsid w:val="00AF37D2"/>
    <w:rsid w:val="00AF386A"/>
    <w:rsid w:val="00AF5914"/>
    <w:rsid w:val="00AF7F93"/>
    <w:rsid w:val="00B001FF"/>
    <w:rsid w:val="00B02B31"/>
    <w:rsid w:val="00B122DF"/>
    <w:rsid w:val="00B13A0A"/>
    <w:rsid w:val="00B147B0"/>
    <w:rsid w:val="00B209F3"/>
    <w:rsid w:val="00B21E61"/>
    <w:rsid w:val="00B2325E"/>
    <w:rsid w:val="00B242DE"/>
    <w:rsid w:val="00B25EB3"/>
    <w:rsid w:val="00B269B4"/>
    <w:rsid w:val="00B3049A"/>
    <w:rsid w:val="00B320E1"/>
    <w:rsid w:val="00B328AD"/>
    <w:rsid w:val="00B33B48"/>
    <w:rsid w:val="00B35CE3"/>
    <w:rsid w:val="00B40B6F"/>
    <w:rsid w:val="00B41DCA"/>
    <w:rsid w:val="00B42BF4"/>
    <w:rsid w:val="00B454FD"/>
    <w:rsid w:val="00B461CF"/>
    <w:rsid w:val="00B504EF"/>
    <w:rsid w:val="00B5231F"/>
    <w:rsid w:val="00B62A67"/>
    <w:rsid w:val="00B63392"/>
    <w:rsid w:val="00B63B85"/>
    <w:rsid w:val="00B640B6"/>
    <w:rsid w:val="00B64B1A"/>
    <w:rsid w:val="00B717CF"/>
    <w:rsid w:val="00B729EE"/>
    <w:rsid w:val="00B73E4A"/>
    <w:rsid w:val="00B7631E"/>
    <w:rsid w:val="00B77ADB"/>
    <w:rsid w:val="00B858E9"/>
    <w:rsid w:val="00B8694A"/>
    <w:rsid w:val="00B93187"/>
    <w:rsid w:val="00B936B2"/>
    <w:rsid w:val="00B943CC"/>
    <w:rsid w:val="00B94B5F"/>
    <w:rsid w:val="00B97E72"/>
    <w:rsid w:val="00BA069E"/>
    <w:rsid w:val="00BA4727"/>
    <w:rsid w:val="00BA72E9"/>
    <w:rsid w:val="00BB2FF0"/>
    <w:rsid w:val="00BB6967"/>
    <w:rsid w:val="00BC2A21"/>
    <w:rsid w:val="00BC2C73"/>
    <w:rsid w:val="00BC3A79"/>
    <w:rsid w:val="00BC64DF"/>
    <w:rsid w:val="00BC721F"/>
    <w:rsid w:val="00BD0D26"/>
    <w:rsid w:val="00BD1C03"/>
    <w:rsid w:val="00BD2ADD"/>
    <w:rsid w:val="00BD41D3"/>
    <w:rsid w:val="00BD5E6C"/>
    <w:rsid w:val="00BD70A6"/>
    <w:rsid w:val="00BD742D"/>
    <w:rsid w:val="00BE44BA"/>
    <w:rsid w:val="00BE6F55"/>
    <w:rsid w:val="00BE7AF5"/>
    <w:rsid w:val="00BF1761"/>
    <w:rsid w:val="00BF5E40"/>
    <w:rsid w:val="00BF6028"/>
    <w:rsid w:val="00C03279"/>
    <w:rsid w:val="00C0427E"/>
    <w:rsid w:val="00C1003C"/>
    <w:rsid w:val="00C10230"/>
    <w:rsid w:val="00C1630A"/>
    <w:rsid w:val="00C16ABD"/>
    <w:rsid w:val="00C2768F"/>
    <w:rsid w:val="00C277F6"/>
    <w:rsid w:val="00C30802"/>
    <w:rsid w:val="00C30931"/>
    <w:rsid w:val="00C33342"/>
    <w:rsid w:val="00C345B4"/>
    <w:rsid w:val="00C41EC0"/>
    <w:rsid w:val="00C420BA"/>
    <w:rsid w:val="00C42E32"/>
    <w:rsid w:val="00C43704"/>
    <w:rsid w:val="00C45386"/>
    <w:rsid w:val="00C47BE9"/>
    <w:rsid w:val="00C528BA"/>
    <w:rsid w:val="00C52A58"/>
    <w:rsid w:val="00C54640"/>
    <w:rsid w:val="00C549B2"/>
    <w:rsid w:val="00C54D5C"/>
    <w:rsid w:val="00C5633A"/>
    <w:rsid w:val="00C566E7"/>
    <w:rsid w:val="00C65604"/>
    <w:rsid w:val="00C65A45"/>
    <w:rsid w:val="00C70038"/>
    <w:rsid w:val="00C70EF2"/>
    <w:rsid w:val="00C71BDE"/>
    <w:rsid w:val="00C743C1"/>
    <w:rsid w:val="00C74FEC"/>
    <w:rsid w:val="00C82F76"/>
    <w:rsid w:val="00C839DF"/>
    <w:rsid w:val="00C92C03"/>
    <w:rsid w:val="00C93A93"/>
    <w:rsid w:val="00C95607"/>
    <w:rsid w:val="00C957E3"/>
    <w:rsid w:val="00C976BB"/>
    <w:rsid w:val="00CA02AC"/>
    <w:rsid w:val="00CA1D8C"/>
    <w:rsid w:val="00CA3D59"/>
    <w:rsid w:val="00CA6B6F"/>
    <w:rsid w:val="00CA7113"/>
    <w:rsid w:val="00CA7CE4"/>
    <w:rsid w:val="00CB05C3"/>
    <w:rsid w:val="00CB3CCE"/>
    <w:rsid w:val="00CB4B6F"/>
    <w:rsid w:val="00CB4BC8"/>
    <w:rsid w:val="00CB7E48"/>
    <w:rsid w:val="00CC18DF"/>
    <w:rsid w:val="00CD04B0"/>
    <w:rsid w:val="00CD39C2"/>
    <w:rsid w:val="00CE018A"/>
    <w:rsid w:val="00CE1F4D"/>
    <w:rsid w:val="00CE55DE"/>
    <w:rsid w:val="00CE5D75"/>
    <w:rsid w:val="00CE6882"/>
    <w:rsid w:val="00CE7E62"/>
    <w:rsid w:val="00CF2983"/>
    <w:rsid w:val="00CF505B"/>
    <w:rsid w:val="00CF649A"/>
    <w:rsid w:val="00CF6542"/>
    <w:rsid w:val="00D0185C"/>
    <w:rsid w:val="00D0496D"/>
    <w:rsid w:val="00D052FE"/>
    <w:rsid w:val="00D0579F"/>
    <w:rsid w:val="00D11EE1"/>
    <w:rsid w:val="00D14CE9"/>
    <w:rsid w:val="00D158B6"/>
    <w:rsid w:val="00D15D55"/>
    <w:rsid w:val="00D176A1"/>
    <w:rsid w:val="00D267DF"/>
    <w:rsid w:val="00D31291"/>
    <w:rsid w:val="00D316EC"/>
    <w:rsid w:val="00D3389C"/>
    <w:rsid w:val="00D356AD"/>
    <w:rsid w:val="00D3639C"/>
    <w:rsid w:val="00D3699B"/>
    <w:rsid w:val="00D377B0"/>
    <w:rsid w:val="00D41ACE"/>
    <w:rsid w:val="00D4395A"/>
    <w:rsid w:val="00D45191"/>
    <w:rsid w:val="00D46488"/>
    <w:rsid w:val="00D46DDE"/>
    <w:rsid w:val="00D534A0"/>
    <w:rsid w:val="00D5412C"/>
    <w:rsid w:val="00D548E7"/>
    <w:rsid w:val="00D60348"/>
    <w:rsid w:val="00D612A8"/>
    <w:rsid w:val="00D62FFE"/>
    <w:rsid w:val="00D63701"/>
    <w:rsid w:val="00D74711"/>
    <w:rsid w:val="00D77B2A"/>
    <w:rsid w:val="00D807BF"/>
    <w:rsid w:val="00D81204"/>
    <w:rsid w:val="00D81408"/>
    <w:rsid w:val="00D83939"/>
    <w:rsid w:val="00D8483A"/>
    <w:rsid w:val="00D86275"/>
    <w:rsid w:val="00D9234A"/>
    <w:rsid w:val="00D93C2D"/>
    <w:rsid w:val="00D9647C"/>
    <w:rsid w:val="00DA1B1A"/>
    <w:rsid w:val="00DA1DA7"/>
    <w:rsid w:val="00DA2000"/>
    <w:rsid w:val="00DA2F16"/>
    <w:rsid w:val="00DA4B7A"/>
    <w:rsid w:val="00DB0807"/>
    <w:rsid w:val="00DB2901"/>
    <w:rsid w:val="00DB553A"/>
    <w:rsid w:val="00DB6809"/>
    <w:rsid w:val="00DB6D79"/>
    <w:rsid w:val="00DC4D82"/>
    <w:rsid w:val="00DD1AAC"/>
    <w:rsid w:val="00DD2BF3"/>
    <w:rsid w:val="00DD5464"/>
    <w:rsid w:val="00DD7B1F"/>
    <w:rsid w:val="00DE0935"/>
    <w:rsid w:val="00DE3226"/>
    <w:rsid w:val="00DE4B68"/>
    <w:rsid w:val="00DF15F1"/>
    <w:rsid w:val="00DF2F19"/>
    <w:rsid w:val="00DF4FF0"/>
    <w:rsid w:val="00DF5669"/>
    <w:rsid w:val="00E00368"/>
    <w:rsid w:val="00E04B28"/>
    <w:rsid w:val="00E06AF3"/>
    <w:rsid w:val="00E12060"/>
    <w:rsid w:val="00E1288E"/>
    <w:rsid w:val="00E13A8B"/>
    <w:rsid w:val="00E1536A"/>
    <w:rsid w:val="00E15726"/>
    <w:rsid w:val="00E15EF5"/>
    <w:rsid w:val="00E16F1A"/>
    <w:rsid w:val="00E2185C"/>
    <w:rsid w:val="00E21918"/>
    <w:rsid w:val="00E236D1"/>
    <w:rsid w:val="00E2428F"/>
    <w:rsid w:val="00E246D8"/>
    <w:rsid w:val="00E24B3B"/>
    <w:rsid w:val="00E25420"/>
    <w:rsid w:val="00E25A4D"/>
    <w:rsid w:val="00E26149"/>
    <w:rsid w:val="00E27053"/>
    <w:rsid w:val="00E30D7F"/>
    <w:rsid w:val="00E319B0"/>
    <w:rsid w:val="00E345CF"/>
    <w:rsid w:val="00E35AA8"/>
    <w:rsid w:val="00E35E65"/>
    <w:rsid w:val="00E4384B"/>
    <w:rsid w:val="00E44999"/>
    <w:rsid w:val="00E44A5A"/>
    <w:rsid w:val="00E44F21"/>
    <w:rsid w:val="00E4508B"/>
    <w:rsid w:val="00E454BA"/>
    <w:rsid w:val="00E5098B"/>
    <w:rsid w:val="00E51665"/>
    <w:rsid w:val="00E53AB4"/>
    <w:rsid w:val="00E5727E"/>
    <w:rsid w:val="00E632DA"/>
    <w:rsid w:val="00E643B8"/>
    <w:rsid w:val="00E70512"/>
    <w:rsid w:val="00E70B08"/>
    <w:rsid w:val="00E70D01"/>
    <w:rsid w:val="00E71173"/>
    <w:rsid w:val="00E76D1B"/>
    <w:rsid w:val="00E81FAB"/>
    <w:rsid w:val="00E828D9"/>
    <w:rsid w:val="00E831E8"/>
    <w:rsid w:val="00E8481E"/>
    <w:rsid w:val="00E84A70"/>
    <w:rsid w:val="00E86E12"/>
    <w:rsid w:val="00E901DD"/>
    <w:rsid w:val="00E9028A"/>
    <w:rsid w:val="00E911BB"/>
    <w:rsid w:val="00E91D5A"/>
    <w:rsid w:val="00E924B0"/>
    <w:rsid w:val="00E96892"/>
    <w:rsid w:val="00E976E9"/>
    <w:rsid w:val="00EA0A43"/>
    <w:rsid w:val="00EA2DB4"/>
    <w:rsid w:val="00EA4E47"/>
    <w:rsid w:val="00EA6D48"/>
    <w:rsid w:val="00EA7036"/>
    <w:rsid w:val="00EB1350"/>
    <w:rsid w:val="00EB23C3"/>
    <w:rsid w:val="00EB26CF"/>
    <w:rsid w:val="00EB410F"/>
    <w:rsid w:val="00ED333E"/>
    <w:rsid w:val="00ED5107"/>
    <w:rsid w:val="00ED5B6E"/>
    <w:rsid w:val="00EE22DF"/>
    <w:rsid w:val="00EE243E"/>
    <w:rsid w:val="00EE33BF"/>
    <w:rsid w:val="00EE71D8"/>
    <w:rsid w:val="00EE7DFD"/>
    <w:rsid w:val="00EF204E"/>
    <w:rsid w:val="00EF7997"/>
    <w:rsid w:val="00F0008C"/>
    <w:rsid w:val="00F00258"/>
    <w:rsid w:val="00F07EB3"/>
    <w:rsid w:val="00F10276"/>
    <w:rsid w:val="00F11651"/>
    <w:rsid w:val="00F1498E"/>
    <w:rsid w:val="00F17CEF"/>
    <w:rsid w:val="00F22631"/>
    <w:rsid w:val="00F2373F"/>
    <w:rsid w:val="00F24109"/>
    <w:rsid w:val="00F3107D"/>
    <w:rsid w:val="00F344E3"/>
    <w:rsid w:val="00F36AE4"/>
    <w:rsid w:val="00F4145E"/>
    <w:rsid w:val="00F4205E"/>
    <w:rsid w:val="00F47D15"/>
    <w:rsid w:val="00F47DD9"/>
    <w:rsid w:val="00F47E1B"/>
    <w:rsid w:val="00F50735"/>
    <w:rsid w:val="00F52666"/>
    <w:rsid w:val="00F532CF"/>
    <w:rsid w:val="00F57FE2"/>
    <w:rsid w:val="00F635A3"/>
    <w:rsid w:val="00F6526F"/>
    <w:rsid w:val="00F71155"/>
    <w:rsid w:val="00F72A4C"/>
    <w:rsid w:val="00F749BC"/>
    <w:rsid w:val="00F76EC5"/>
    <w:rsid w:val="00F77BCE"/>
    <w:rsid w:val="00F82285"/>
    <w:rsid w:val="00F82B24"/>
    <w:rsid w:val="00F83A12"/>
    <w:rsid w:val="00F858E3"/>
    <w:rsid w:val="00F86543"/>
    <w:rsid w:val="00F90DC4"/>
    <w:rsid w:val="00F911C6"/>
    <w:rsid w:val="00F93BC0"/>
    <w:rsid w:val="00F94686"/>
    <w:rsid w:val="00FA14BF"/>
    <w:rsid w:val="00FA4ACE"/>
    <w:rsid w:val="00FA5F67"/>
    <w:rsid w:val="00FA7967"/>
    <w:rsid w:val="00FB0EA1"/>
    <w:rsid w:val="00FB39C3"/>
    <w:rsid w:val="00FB537F"/>
    <w:rsid w:val="00FC10A5"/>
    <w:rsid w:val="00FC1ADC"/>
    <w:rsid w:val="00FC1CBE"/>
    <w:rsid w:val="00FC2F16"/>
    <w:rsid w:val="00FC5CC6"/>
    <w:rsid w:val="00FC749A"/>
    <w:rsid w:val="00FD1101"/>
    <w:rsid w:val="00FD270F"/>
    <w:rsid w:val="00FD527F"/>
    <w:rsid w:val="00FD5A59"/>
    <w:rsid w:val="00FD74C1"/>
    <w:rsid w:val="00FE19A5"/>
    <w:rsid w:val="00FE4D6D"/>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DB4820"/>
  <w15:docId w15:val="{6AAEBAC3-D152-4C45-9A5B-30132C18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49"/>
      </w:numPr>
    </w:pPr>
    <w:rPr>
      <w:bCs w:val="0"/>
    </w:rPr>
  </w:style>
  <w:style w:type="paragraph" w:styleId="Heading2">
    <w:name w:val="heading 2"/>
    <w:aliases w:val="Level 1 Subheading"/>
    <w:basedOn w:val="Normal"/>
    <w:next w:val="Normal"/>
    <w:link w:val="Heading2Char"/>
    <w:uiPriority w:val="7"/>
    <w:unhideWhenUsed/>
    <w:qFormat/>
    <w:rsid w:val="00D158B6"/>
    <w:pPr>
      <w:keepNext/>
      <w:keepLines/>
      <w:numPr>
        <w:ilvl w:val="1"/>
        <w:numId w:val="49"/>
      </w:numPr>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D158B6"/>
    <w:pPr>
      <w:keepNext/>
      <w:keepLines/>
      <w:numPr>
        <w:ilvl w:val="2"/>
        <w:numId w:val="49"/>
      </w:numPr>
      <w:spacing w:before="120"/>
      <w:ind w:left="720" w:hanging="7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D158B6"/>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qFormat/>
    <w:rsid w:val="00351AD1"/>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D158B6"/>
    <w:rPr>
      <w:rFonts w:ascii="Arial" w:eastAsiaTheme="majorEastAsia" w:hAnsi="Arial" w:cstheme="majorBidi"/>
      <w:b/>
      <w:sz w:val="20"/>
      <w:szCs w:val="24"/>
    </w:rPr>
  </w:style>
  <w:style w:type="character" w:styleId="Hyperlink">
    <w:name w:val="Hyperlink"/>
    <w:basedOn w:val="DefaultParagraphFont"/>
    <w:uiPriority w:val="99"/>
    <w:unhideWhenUsed/>
    <w:rsid w:val="008F1818"/>
    <w:rPr>
      <w:color w:val="0563C1"/>
      <w:u w:val="single"/>
    </w:rPr>
  </w:style>
  <w:style w:type="character" w:customStyle="1" w:styleId="UnresolvedMention1">
    <w:name w:val="Unresolved Mention1"/>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rsid w:val="004371AB"/>
    <w:pPr>
      <w:keepNext/>
      <w:spacing w:before="40" w:after="80" w:line="288" w:lineRule="auto"/>
      <w:jc w:val="center"/>
    </w:pPr>
    <w:rPr>
      <w:b/>
      <w:color w:val="007C31"/>
    </w:rPr>
  </w:style>
  <w:style w:type="paragraph" w:customStyle="1" w:styleId="Questionbodytext">
    <w:name w:val="Question body text"/>
    <w:basedOn w:val="Normal"/>
    <w:uiPriority w:val="8"/>
    <w:rsid w:val="004371AB"/>
    <w:pPr>
      <w:spacing w:before="40" w:after="80" w:line="288" w:lineRule="auto"/>
    </w:pPr>
  </w:style>
  <w:style w:type="paragraph" w:styleId="NormalWeb">
    <w:name w:val="Normal (Web)"/>
    <w:basedOn w:val="Normal"/>
    <w:uiPriority w:val="99"/>
    <w:semiHidden/>
    <w:unhideWhenUsed/>
    <w:rsid w:val="00DD2BF3"/>
    <w:pPr>
      <w:spacing w:after="0" w:line="240" w:lineRule="auto"/>
    </w:pPr>
    <w:rPr>
      <w:rFonts w:ascii="Calibri" w:hAnsi="Calibri" w:cs="Calibri"/>
      <w:color w:val="auto"/>
      <w:sz w:val="22"/>
      <w:lang w:eastAsia="en-GB"/>
    </w:rPr>
  </w:style>
  <w:style w:type="paragraph" w:customStyle="1" w:styleId="Tabletitle">
    <w:name w:val="Table title"/>
    <w:basedOn w:val="Normal"/>
    <w:uiPriority w:val="8"/>
    <w:qFormat/>
    <w:rsid w:val="00AA1B55"/>
    <w:pPr>
      <w:keepNext/>
      <w:spacing w:before="40" w:after="40" w:line="240" w:lineRule="auto"/>
      <w:jc w:val="center"/>
    </w:pPr>
    <w:rPr>
      <w:b/>
      <w:color w:val="FFFFFF" w:themeColor="background1"/>
    </w:rPr>
  </w:style>
  <w:style w:type="paragraph" w:customStyle="1" w:styleId="Tablecolumheader">
    <w:name w:val="Table colum header"/>
    <w:basedOn w:val="Normal"/>
    <w:uiPriority w:val="8"/>
    <w:qFormat/>
    <w:rsid w:val="00AA1B55"/>
    <w:pPr>
      <w:keepNext/>
      <w:spacing w:before="40" w:after="40" w:line="240" w:lineRule="auto"/>
      <w:jc w:val="center"/>
    </w:pPr>
    <w:rPr>
      <w:b/>
      <w:color w:val="007C31"/>
    </w:rPr>
  </w:style>
  <w:style w:type="paragraph" w:customStyle="1" w:styleId="Tablebodytext">
    <w:name w:val="Table body text"/>
    <w:basedOn w:val="Normal"/>
    <w:uiPriority w:val="8"/>
    <w:qFormat/>
    <w:rsid w:val="00AA1B55"/>
    <w:pPr>
      <w:spacing w:before="40" w:after="40" w:line="240" w:lineRule="auto"/>
    </w:pPr>
  </w:style>
  <w:style w:type="paragraph" w:styleId="Revision">
    <w:name w:val="Revision"/>
    <w:hidden/>
    <w:uiPriority w:val="99"/>
    <w:semiHidden/>
    <w:rsid w:val="004E7EF3"/>
    <w:pPr>
      <w:spacing w:after="0" w:line="240" w:lineRule="auto"/>
    </w:pPr>
    <w:rPr>
      <w:rFonts w:ascii="Arial" w:hAnsi="Arial"/>
      <w:color w:val="404040" w:themeColor="text1" w:themeTint="BF"/>
      <w:sz w:val="20"/>
    </w:rPr>
  </w:style>
  <w:style w:type="paragraph" w:customStyle="1" w:styleId="Level1subheadingHeading2">
    <w:name w:val="Level 1 subheading  (Heading 2)"/>
    <w:basedOn w:val="Normal"/>
    <w:rsid w:val="00236AA2"/>
    <w:pPr>
      <w:numPr>
        <w:ilvl w:val="1"/>
        <w:numId w:val="46"/>
      </w:numPr>
    </w:pPr>
  </w:style>
  <w:style w:type="paragraph" w:customStyle="1" w:styleId="Level2subheadingHeading3">
    <w:name w:val="Level 2 subheading  (Heading 3)"/>
    <w:basedOn w:val="Normal"/>
    <w:rsid w:val="00236AA2"/>
    <w:pPr>
      <w:numPr>
        <w:ilvl w:val="2"/>
        <w:numId w:val="46"/>
      </w:numPr>
    </w:pPr>
  </w:style>
  <w:style w:type="paragraph" w:customStyle="1" w:styleId="smetsxref">
    <w:name w:val="smets xref"/>
    <w:basedOn w:val="ListParagraph"/>
    <w:next w:val="Normal"/>
    <w:link w:val="smetsxrefChar"/>
    <w:rsid w:val="000D56FA"/>
    <w:pPr>
      <w:numPr>
        <w:numId w:val="53"/>
      </w:numPr>
      <w:spacing w:before="120" w:line="240" w:lineRule="auto"/>
    </w:pPr>
    <w:rPr>
      <w:rFonts w:eastAsia="Times New Roman" w:cs="Arial"/>
      <w:i/>
      <w:color w:val="auto"/>
      <w:sz w:val="22"/>
    </w:rPr>
  </w:style>
  <w:style w:type="character" w:customStyle="1" w:styleId="smetsxrefChar">
    <w:name w:val="smets xref Char"/>
    <w:basedOn w:val="DefaultParagraphFont"/>
    <w:link w:val="smetsxref"/>
    <w:rsid w:val="000D56FA"/>
    <w:rPr>
      <w:rFonts w:ascii="Arial" w:eastAsia="Times New Roman"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01933152">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561087133">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 w:id="19365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Templates\01%20-%20Documents\03%20-%20Refine%20Stage%20documents\01%20-%20Business%20Requirements\Business%20Requiremen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0004-237A-4E6A-A2DF-37BF892F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Requirements Template</Template>
  <TotalTime>24</TotalTime>
  <Pages>5</Pages>
  <Words>735</Words>
  <Characters>4195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MP085 Business Requirements</vt:lpstr>
    </vt:vector>
  </TitlesOfParts>
  <Company>SECAS</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MP085 Business Requirements</dc:title>
  <dc:creator>Bradley Baker</dc:creator>
  <cp:lastModifiedBy>Bradley Baker</cp:lastModifiedBy>
  <cp:revision>2</cp:revision>
  <cp:lastPrinted>2020-03-26T16:47:00Z</cp:lastPrinted>
  <dcterms:created xsi:type="dcterms:W3CDTF">2020-05-14T11:27:00Z</dcterms:created>
  <dcterms:modified xsi:type="dcterms:W3CDTF">2020-05-14T11:27:00Z</dcterms:modified>
</cp:coreProperties>
</file>