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A3925A" w14:textId="407C1159" w:rsidR="003423F3" w:rsidRDefault="003423F3" w:rsidP="003423F3">
      <w:pPr>
        <w:pStyle w:val="SECPaperTitle"/>
        <w:spacing w:before="0" w:after="240"/>
        <w:rPr>
          <w:sz w:val="30"/>
          <w:szCs w:val="3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4E4FA2" wp14:editId="1E51FC3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70880" cy="466725"/>
                <wp:effectExtent l="0" t="0" r="2032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8E3E4" w14:textId="77777777" w:rsidR="003423F3" w:rsidRPr="001606E0" w:rsidRDefault="003423F3" w:rsidP="003423F3">
                            <w:r w:rsidRPr="002C642C">
                              <w:rPr>
                                <w:rFonts w:cs="Arial"/>
                              </w:rPr>
                              <w:t xml:space="preserve">This document is classified as </w:t>
                            </w:r>
                            <w:r w:rsidRPr="002C642C">
                              <w:rPr>
                                <w:rFonts w:cs="Arial"/>
                                <w:b/>
                              </w:rPr>
                              <w:t xml:space="preserve">White </w:t>
                            </w:r>
                            <w:r w:rsidRPr="002C642C">
                              <w:rPr>
                                <w:rFonts w:cs="Arial"/>
                              </w:rPr>
                              <w:t>in accordance with the Panel Information Policy. Information can be shared with the public</w:t>
                            </w:r>
                            <w:r>
                              <w:rPr>
                                <w:rFonts w:cs="Arial"/>
                              </w:rPr>
                              <w:t>,</w:t>
                            </w:r>
                            <w:r w:rsidRPr="002C642C">
                              <w:rPr>
                                <w:rFonts w:cs="Arial"/>
                              </w:rPr>
                              <w:t xml:space="preserve"> and any members may publish the information, subject to copyright</w:t>
                            </w:r>
                            <w:r>
                              <w:t xml:space="preserve">. </w:t>
                            </w:r>
                          </w:p>
                          <w:p w14:paraId="0F0B8543" w14:textId="77777777" w:rsidR="003423F3" w:rsidRPr="003D092C" w:rsidRDefault="003423F3" w:rsidP="003423F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E4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4.4pt;height:3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">
                <v:textbox>
                  <w:txbxContent>
                    <w:p w14:paraId="4BB8E3E4" w14:textId="77777777" w:rsidR="003423F3" w:rsidRPr="001606E0" w:rsidRDefault="003423F3" w:rsidP="003423F3">
                      <w:r w:rsidRPr="002C642C">
                        <w:rPr>
                          <w:rFonts w:cs="Arial"/>
                        </w:rPr>
                        <w:t xml:space="preserve">This document is classified as </w:t>
                      </w:r>
                      <w:r w:rsidRPr="002C642C">
                        <w:rPr>
                          <w:rFonts w:cs="Arial"/>
                          <w:b/>
                        </w:rPr>
                        <w:t xml:space="preserve">White </w:t>
                      </w:r>
                      <w:r w:rsidRPr="002C642C">
                        <w:rPr>
                          <w:rFonts w:cs="Arial"/>
                        </w:rPr>
                        <w:t>in accordance with the Panel Information Policy. Information can be shared with the public</w:t>
                      </w:r>
                      <w:r>
                        <w:rPr>
                          <w:rFonts w:cs="Arial"/>
                        </w:rPr>
                        <w:t>,</w:t>
                      </w:r>
                      <w:r w:rsidRPr="002C642C">
                        <w:rPr>
                          <w:rFonts w:cs="Arial"/>
                        </w:rPr>
                        <w:t xml:space="preserve"> and any members may publish the information, subject to copyright</w:t>
                      </w:r>
                      <w:r>
                        <w:t xml:space="preserve">. </w:t>
                      </w:r>
                    </w:p>
                    <w:p w14:paraId="0F0B8543" w14:textId="77777777" w:rsidR="003423F3" w:rsidRPr="003D092C" w:rsidRDefault="003423F3" w:rsidP="003423F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0"/>
          <w:szCs w:val="30"/>
        </w:rPr>
        <w:t>SECMP</w:t>
      </w:r>
      <w:r w:rsidR="00BD7F0E">
        <w:rPr>
          <w:sz w:val="30"/>
          <w:szCs w:val="30"/>
        </w:rPr>
        <w:t>0056</w:t>
      </w:r>
      <w:r>
        <w:rPr>
          <w:sz w:val="30"/>
          <w:szCs w:val="30"/>
        </w:rPr>
        <w:t xml:space="preserve"> ‘</w:t>
      </w:r>
      <w:r w:rsidR="00BA0BEE" w:rsidRPr="00BA0BEE">
        <w:rPr>
          <w:sz w:val="30"/>
          <w:szCs w:val="30"/>
        </w:rPr>
        <w:t>IHD / PPMID Zigbee Attributes Available on the HAN</w:t>
      </w:r>
      <w:r>
        <w:rPr>
          <w:sz w:val="30"/>
          <w:szCs w:val="30"/>
        </w:rPr>
        <w:t>’</w:t>
      </w:r>
    </w:p>
    <w:p w14:paraId="32325EBD" w14:textId="12DE6C78" w:rsidR="003423F3" w:rsidRPr="008E76FA" w:rsidRDefault="003423F3" w:rsidP="003423F3">
      <w:pPr>
        <w:pStyle w:val="SECPaperTitle"/>
        <w:spacing w:before="0" w:after="240"/>
        <w:rPr>
          <w:sz w:val="30"/>
          <w:szCs w:val="30"/>
        </w:rPr>
      </w:pPr>
      <w:r>
        <w:rPr>
          <w:sz w:val="30"/>
          <w:szCs w:val="30"/>
        </w:rPr>
        <w:t xml:space="preserve">Working Group </w:t>
      </w:r>
      <w:r w:rsidRPr="008E76FA">
        <w:rPr>
          <w:sz w:val="30"/>
          <w:szCs w:val="30"/>
        </w:rPr>
        <w:t xml:space="preserve">Meeting </w:t>
      </w:r>
      <w:r w:rsidR="00224691">
        <w:rPr>
          <w:sz w:val="30"/>
          <w:szCs w:val="30"/>
        </w:rPr>
        <w:t xml:space="preserve">– 1 </w:t>
      </w:r>
      <w:r w:rsidR="00BD7F0E">
        <w:rPr>
          <w:sz w:val="30"/>
          <w:szCs w:val="30"/>
        </w:rPr>
        <w:t>May 2019</w:t>
      </w:r>
    </w:p>
    <w:p w14:paraId="4D449010" w14:textId="77777777" w:rsidR="00D70ECB" w:rsidRDefault="003423F3" w:rsidP="003423F3">
      <w:pPr>
        <w:pStyle w:val="SECPaperTitle"/>
        <w:spacing w:after="120"/>
      </w:pPr>
      <w:r>
        <w:rPr>
          <w:rFonts w:eastAsiaTheme="minorEastAsia" w:cs="Arial"/>
          <w:szCs w:val="32"/>
          <w:lang w:eastAsia="en-GB"/>
        </w:rPr>
        <w:t>Meeting summary</w:t>
      </w:r>
    </w:p>
    <w:p w14:paraId="5A57A169" w14:textId="2B3DE0A7" w:rsidR="00E42FFB" w:rsidRDefault="00BA0BEE" w:rsidP="00CF5044">
      <w:pPr>
        <w:pStyle w:val="Subtitle"/>
      </w:pPr>
      <w:r>
        <w:t>Discussions of the Working Group</w:t>
      </w:r>
    </w:p>
    <w:p w14:paraId="2C71F7D8" w14:textId="33DA1BD9" w:rsidR="00384B39" w:rsidRDefault="00384B39" w:rsidP="00384B39">
      <w:r>
        <w:t>SECAS gave an overview of the modification</w:t>
      </w:r>
      <w:r w:rsidR="00CF5044">
        <w:t>’s</w:t>
      </w:r>
      <w:r>
        <w:t xml:space="preserve"> aims and solution</w:t>
      </w:r>
      <w:r w:rsidR="00CF5044">
        <w:t>;</w:t>
      </w:r>
      <w:r>
        <w:t xml:space="preserve"> these can be found on the </w:t>
      </w:r>
      <w:r w:rsidR="00CF5044">
        <w:t xml:space="preserve">modification’s </w:t>
      </w:r>
      <w:r>
        <w:t>webpage and in the meeting materials.</w:t>
      </w:r>
    </w:p>
    <w:p w14:paraId="2FA2235D" w14:textId="77777777" w:rsidR="00384B39" w:rsidRDefault="00384B39" w:rsidP="00CF5044"/>
    <w:p w14:paraId="603FFE5C" w14:textId="122C13A2" w:rsidR="00384B39" w:rsidRDefault="00384B39" w:rsidP="00CF5044">
      <w:pPr>
        <w:pStyle w:val="Subheading"/>
      </w:pPr>
      <w:r>
        <w:t>Consideration of the Preliminary Assessment</w:t>
      </w:r>
    </w:p>
    <w:p w14:paraId="0F0C8944" w14:textId="1EDF2C30" w:rsidR="00384B39" w:rsidRDefault="00384B39" w:rsidP="00EC7DAB">
      <w:r>
        <w:t xml:space="preserve">Some concerns were raised about the </w:t>
      </w:r>
      <w:r w:rsidR="00CF5044">
        <w:t xml:space="preserve">DCC </w:t>
      </w:r>
      <w:r>
        <w:t>cost of the change</w:t>
      </w:r>
      <w:r w:rsidR="00CF5044">
        <w:t>, estimated</w:t>
      </w:r>
      <w:r>
        <w:t xml:space="preserve"> at £1.3m</w:t>
      </w:r>
      <w:r w:rsidR="00CF5044">
        <w:t xml:space="preserve"> up to the end of Pre-Integration Testing (PIT)</w:t>
      </w:r>
      <w:r>
        <w:t xml:space="preserve">. The DCC explained that this was due to the amount of testing that would be needed. The </w:t>
      </w:r>
      <w:r w:rsidR="00CA508D">
        <w:t>W</w:t>
      </w:r>
      <w:r>
        <w:t>orking Group continued to be concerned but accepted the DCC</w:t>
      </w:r>
      <w:r w:rsidR="00CF5044">
        <w:t>’s</w:t>
      </w:r>
      <w:r>
        <w:t xml:space="preserve"> response.</w:t>
      </w:r>
    </w:p>
    <w:p w14:paraId="29ADEB91" w14:textId="6CC7366E" w:rsidR="00384B39" w:rsidRDefault="00384B39" w:rsidP="00EC7DAB"/>
    <w:p w14:paraId="287C152E" w14:textId="11221CD0" w:rsidR="00384B39" w:rsidRDefault="00384B39" w:rsidP="00CF5044">
      <w:pPr>
        <w:pStyle w:val="Subheading"/>
      </w:pPr>
      <w:r>
        <w:t>Consideration of other factors</w:t>
      </w:r>
    </w:p>
    <w:p w14:paraId="6A3DA26C" w14:textId="0770D796" w:rsidR="00384B39" w:rsidRDefault="00EC7DAB" w:rsidP="00CF5044">
      <w:r>
        <w:t xml:space="preserve">The group </w:t>
      </w:r>
      <w:r w:rsidR="00384B39">
        <w:t>raised</w:t>
      </w:r>
      <w:r>
        <w:t xml:space="preserve"> concern</w:t>
      </w:r>
      <w:r w:rsidR="00384B39">
        <w:t>s</w:t>
      </w:r>
      <w:r>
        <w:t xml:space="preserve"> </w:t>
      </w:r>
      <w:r w:rsidR="00190480">
        <w:t>that</w:t>
      </w:r>
      <w:r>
        <w:t xml:space="preserve"> </w:t>
      </w:r>
      <w:r w:rsidR="00224691">
        <w:t xml:space="preserve">a </w:t>
      </w:r>
      <w:r>
        <w:t xml:space="preserve">current open defect </w:t>
      </w:r>
      <w:r w:rsidR="00190480">
        <w:t>might</w:t>
      </w:r>
      <w:r>
        <w:t xml:space="preserve"> interact with this modification. </w:t>
      </w:r>
      <w:r w:rsidR="006F3E28">
        <w:t>The defect had been raised in response to the situation where the Supplier has sent the C</w:t>
      </w:r>
      <w:r w:rsidR="00CA508D">
        <w:t xml:space="preserve">hange </w:t>
      </w:r>
      <w:r w:rsidR="006F3E28">
        <w:t>o</w:t>
      </w:r>
      <w:r w:rsidR="00CA508D">
        <w:t xml:space="preserve">f </w:t>
      </w:r>
      <w:r w:rsidR="006F3E28">
        <w:t>T</w:t>
      </w:r>
      <w:r w:rsidR="00CA508D">
        <w:t>enancy (</w:t>
      </w:r>
      <w:proofErr w:type="spellStart"/>
      <w:r w:rsidR="00CA508D">
        <w:t>CoT</w:t>
      </w:r>
      <w:proofErr w:type="spellEnd"/>
      <w:r w:rsidR="00CA508D">
        <w:t>)</w:t>
      </w:r>
      <w:r w:rsidR="006F3E28">
        <w:t xml:space="preserve"> Service Request but the G</w:t>
      </w:r>
      <w:r w:rsidR="00CA508D">
        <w:t xml:space="preserve">as </w:t>
      </w:r>
      <w:r w:rsidR="006F3E28">
        <w:t>P</w:t>
      </w:r>
      <w:r w:rsidR="00CA508D">
        <w:t xml:space="preserve">roxy </w:t>
      </w:r>
      <w:r w:rsidR="006F3E28">
        <w:t>F</w:t>
      </w:r>
      <w:r w:rsidR="00CA508D">
        <w:t>unction (GPF)</w:t>
      </w:r>
      <w:r w:rsidR="006F3E28">
        <w:t xml:space="preserve"> does not restrict the sharing of historic information with the </w:t>
      </w:r>
      <w:r w:rsidR="00224691">
        <w:t>In-Home</w:t>
      </w:r>
      <w:r w:rsidR="00CA508D">
        <w:t xml:space="preserve"> </w:t>
      </w:r>
      <w:r w:rsidR="006F3E28">
        <w:t>D</w:t>
      </w:r>
      <w:r w:rsidR="00CA508D">
        <w:t>isplay (IHD)</w:t>
      </w:r>
      <w:r w:rsidR="006F3E28">
        <w:t xml:space="preserve">. </w:t>
      </w:r>
      <w:r>
        <w:t>The</w:t>
      </w:r>
      <w:r w:rsidR="006F3E28">
        <w:t xml:space="preserve"> group</w:t>
      </w:r>
      <w:r>
        <w:t xml:space="preserve"> concluded that the resolution of the defect would not address the problem stated in the modification so the solution would still be needed.</w:t>
      </w:r>
      <w:r w:rsidR="00384B39">
        <w:t xml:space="preserve"> This is because</w:t>
      </w:r>
      <w:r w:rsidR="006F3E28">
        <w:t xml:space="preserve"> a clear indication from the GPF or the E</w:t>
      </w:r>
      <w:r w:rsidR="00CA508D">
        <w:t xml:space="preserve">lectricity </w:t>
      </w:r>
      <w:r w:rsidR="006F3E28">
        <w:t>S</w:t>
      </w:r>
      <w:r w:rsidR="00CA508D">
        <w:t xml:space="preserve">mart </w:t>
      </w:r>
      <w:r w:rsidR="006F3E28">
        <w:t>M</w:t>
      </w:r>
      <w:r w:rsidR="00CA508D">
        <w:t xml:space="preserve">etering </w:t>
      </w:r>
      <w:r w:rsidR="006F3E28">
        <w:t>E</w:t>
      </w:r>
      <w:r w:rsidR="00CA508D">
        <w:t>quipment (ESME)</w:t>
      </w:r>
      <w:r w:rsidR="006F3E28">
        <w:t xml:space="preserve"> </w:t>
      </w:r>
      <w:r w:rsidR="00927023">
        <w:t xml:space="preserve">to the IHD </w:t>
      </w:r>
      <w:r w:rsidR="006F3E28">
        <w:t xml:space="preserve">of when the </w:t>
      </w:r>
      <w:proofErr w:type="spellStart"/>
      <w:r w:rsidR="006F3E28">
        <w:t>CoT</w:t>
      </w:r>
      <w:proofErr w:type="spellEnd"/>
      <w:r w:rsidR="006F3E28">
        <w:t xml:space="preserve"> occurs is required.</w:t>
      </w:r>
    </w:p>
    <w:p w14:paraId="29EF0ECE" w14:textId="13D01EAF" w:rsidR="00384B39" w:rsidRDefault="00384B39" w:rsidP="00CF5044">
      <w:pPr>
        <w:pStyle w:val="Subtitle"/>
      </w:pPr>
      <w:r>
        <w:t xml:space="preserve">Benefits and </w:t>
      </w:r>
      <w:r w:rsidR="00CF5044">
        <w:t>d</w:t>
      </w:r>
      <w:r>
        <w:t>rawbacks of the Modification</w:t>
      </w:r>
    </w:p>
    <w:p w14:paraId="54056591" w14:textId="5ABD4BCE" w:rsidR="00EC7DAB" w:rsidRDefault="00EC7DAB" w:rsidP="00EC7DAB">
      <w:r>
        <w:t xml:space="preserve">The group considered the benefit of the modification would be </w:t>
      </w:r>
      <w:r w:rsidR="003C4345">
        <w:t xml:space="preserve">high </w:t>
      </w:r>
      <w:r>
        <w:t xml:space="preserve">as a </w:t>
      </w:r>
      <w:r w:rsidR="00A72F6D">
        <w:t>breach</w:t>
      </w:r>
      <w:r>
        <w:t xml:space="preserve"> of </w:t>
      </w:r>
      <w:r w:rsidR="00CA508D">
        <w:t xml:space="preserve">the </w:t>
      </w:r>
      <w:r>
        <w:t>G</w:t>
      </w:r>
      <w:r w:rsidR="00CA508D">
        <w:t xml:space="preserve">eneral </w:t>
      </w:r>
      <w:r>
        <w:t>D</w:t>
      </w:r>
      <w:r w:rsidR="00CA508D">
        <w:t xml:space="preserve">ata </w:t>
      </w:r>
      <w:r>
        <w:t>P</w:t>
      </w:r>
      <w:r w:rsidR="00CA508D">
        <w:t xml:space="preserve">rotection </w:t>
      </w:r>
      <w:r>
        <w:t>R</w:t>
      </w:r>
      <w:r w:rsidR="00CA508D">
        <w:t>egulation (GDPR)</w:t>
      </w:r>
      <w:r>
        <w:t xml:space="preserve"> would </w:t>
      </w:r>
      <w:proofErr w:type="gramStart"/>
      <w:r>
        <w:t xml:space="preserve">be </w:t>
      </w:r>
      <w:r w:rsidR="003C4345">
        <w:t>seen as</w:t>
      </w:r>
      <w:proofErr w:type="gramEnd"/>
      <w:r w:rsidR="003C4345">
        <w:t xml:space="preserve"> </w:t>
      </w:r>
      <w:r>
        <w:t xml:space="preserve">the responsibility of the </w:t>
      </w:r>
      <w:r w:rsidR="00CA508D">
        <w:t>S</w:t>
      </w:r>
      <w:r>
        <w:t xml:space="preserve">upplier and would incur a </w:t>
      </w:r>
      <w:r w:rsidR="00384B39">
        <w:t>fine of up to €20m or 4</w:t>
      </w:r>
      <w:r>
        <w:t xml:space="preserve">% </w:t>
      </w:r>
      <w:r w:rsidR="00384B39">
        <w:t>of a company’s annual turnover</w:t>
      </w:r>
      <w:r>
        <w:t>.</w:t>
      </w:r>
    </w:p>
    <w:p w14:paraId="6E164044" w14:textId="1E71A189" w:rsidR="00EC7DAB" w:rsidRDefault="00EC7DAB" w:rsidP="00EC7DAB">
      <w:r>
        <w:t xml:space="preserve">The group suggested </w:t>
      </w:r>
      <w:r w:rsidR="003C4345">
        <w:t>that</w:t>
      </w:r>
      <w:r w:rsidR="00CF5044">
        <w:t>,</w:t>
      </w:r>
      <w:r w:rsidR="003C4345">
        <w:t xml:space="preserve"> as well as DCC </w:t>
      </w:r>
      <w:r w:rsidR="00CA508D">
        <w:t>c</w:t>
      </w:r>
      <w:r w:rsidR="003C4345">
        <w:t>entral system costs</w:t>
      </w:r>
      <w:r w:rsidR="00CF5044">
        <w:t>,</w:t>
      </w:r>
      <w:r w:rsidR="003C4345">
        <w:t xml:space="preserve"> </w:t>
      </w:r>
      <w:r>
        <w:t>there would also be costs to implement</w:t>
      </w:r>
      <w:r w:rsidR="00A72F6D">
        <w:t xml:space="preserve"> the modification</w:t>
      </w:r>
      <w:r w:rsidR="00927023">
        <w:t xml:space="preserve"> in </w:t>
      </w:r>
      <w:r w:rsidR="00CA508D">
        <w:t>S</w:t>
      </w:r>
      <w:r w:rsidR="00927023">
        <w:t>upplier systems</w:t>
      </w:r>
      <w:r w:rsidR="00A72F6D">
        <w:t>.</w:t>
      </w:r>
      <w:r>
        <w:t xml:space="preserve"> </w:t>
      </w:r>
      <w:r w:rsidR="00A72F6D">
        <w:t>SECAS confirmed that</w:t>
      </w:r>
      <w:r w:rsidR="00CA508D">
        <w:t xml:space="preserve"> views on</w:t>
      </w:r>
      <w:r w:rsidR="00A72F6D">
        <w:t xml:space="preserve"> t</w:t>
      </w:r>
      <w:r>
        <w:t xml:space="preserve">hese </w:t>
      </w:r>
      <w:r w:rsidR="00CA508D">
        <w:t xml:space="preserve">costs </w:t>
      </w:r>
      <w:r>
        <w:t>w</w:t>
      </w:r>
      <w:r w:rsidR="00A72F6D">
        <w:t>ill</w:t>
      </w:r>
      <w:r>
        <w:t xml:space="preserve"> be requested</w:t>
      </w:r>
      <w:r w:rsidR="00CF5044">
        <w:t xml:space="preserve"> from Suppliers</w:t>
      </w:r>
      <w:r>
        <w:t xml:space="preserve"> in the </w:t>
      </w:r>
      <w:r w:rsidR="00CF5044">
        <w:t>R</w:t>
      </w:r>
      <w:r>
        <w:t xml:space="preserve">efinement </w:t>
      </w:r>
      <w:r w:rsidR="00CF5044">
        <w:t>C</w:t>
      </w:r>
      <w:r>
        <w:t>onsultation.</w:t>
      </w:r>
    </w:p>
    <w:p w14:paraId="450E8603" w14:textId="179B887C" w:rsidR="00A72F6D" w:rsidRDefault="00A72F6D" w:rsidP="00CF5044">
      <w:pPr>
        <w:pStyle w:val="Subtitle"/>
      </w:pPr>
      <w:r>
        <w:t>Next Steps</w:t>
      </w:r>
    </w:p>
    <w:p w14:paraId="66AC73AD" w14:textId="70727430" w:rsidR="00EC7DAB" w:rsidRDefault="00EC7DAB" w:rsidP="00EC7DAB">
      <w:r>
        <w:t xml:space="preserve">The group were happy for the modification to </w:t>
      </w:r>
      <w:proofErr w:type="gramStart"/>
      <w:r>
        <w:t>continue on</w:t>
      </w:r>
      <w:proofErr w:type="gramEnd"/>
      <w:r>
        <w:t xml:space="preserve"> to the </w:t>
      </w:r>
      <w:r w:rsidR="00CF5044">
        <w:t>R</w:t>
      </w:r>
      <w:r>
        <w:t xml:space="preserve">efinement </w:t>
      </w:r>
      <w:r w:rsidR="00CF5044">
        <w:t>C</w:t>
      </w:r>
      <w:r>
        <w:t>onsultation and</w:t>
      </w:r>
      <w:r w:rsidR="00CF5044">
        <w:t>, subject to Change Board approval, a</w:t>
      </w:r>
      <w:r>
        <w:t xml:space="preserve"> subsequent I</w:t>
      </w:r>
      <w:r w:rsidR="007B7546">
        <w:t xml:space="preserve">mpact </w:t>
      </w:r>
      <w:r>
        <w:t>A</w:t>
      </w:r>
      <w:r w:rsidR="007B7546">
        <w:t>ssessment.</w:t>
      </w:r>
    </w:p>
    <w:p w14:paraId="1A3EB910" w14:textId="77777777" w:rsidR="003C08F7" w:rsidRPr="003423F3" w:rsidRDefault="003C08F7" w:rsidP="003423F3"/>
    <w:sectPr w:rsidR="003C08F7" w:rsidRPr="003423F3" w:rsidSect="00633F6B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8C50D" w14:textId="77777777" w:rsidR="003A4BE0" w:rsidRDefault="003A4BE0" w:rsidP="004F458B">
      <w:pPr>
        <w:spacing w:after="0" w:line="240" w:lineRule="auto"/>
      </w:pPr>
      <w:r>
        <w:separator/>
      </w:r>
    </w:p>
  </w:endnote>
  <w:endnote w:type="continuationSeparator" w:id="0">
    <w:p w14:paraId="45A1F2CF" w14:textId="77777777" w:rsidR="003A4BE0" w:rsidRDefault="003A4BE0" w:rsidP="004F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5"/>
      <w:gridCol w:w="3034"/>
      <w:gridCol w:w="2997"/>
    </w:tblGrid>
    <w:tr w:rsidR="00800AF2" w:rsidRPr="00633F6B" w14:paraId="5AB8A80E" w14:textId="77777777" w:rsidTr="00800AF2">
      <w:trPr>
        <w:trHeight w:val="300"/>
      </w:trPr>
      <w:tc>
        <w:tcPr>
          <w:tcW w:w="2995" w:type="dxa"/>
        </w:tcPr>
        <w:p w14:paraId="076DAE64" w14:textId="77777777" w:rsidR="00800AF2" w:rsidRPr="00633F6B" w:rsidRDefault="00800AF2" w:rsidP="000D492D">
          <w:pPr>
            <w:pStyle w:val="Footer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3034" w:type="dxa"/>
          <w:vMerge w:val="restart"/>
        </w:tcPr>
        <w:p w14:paraId="15C7F8EA" w14:textId="77777777" w:rsidR="00800AF2" w:rsidRPr="00633F6B" w:rsidRDefault="00800AF2" w:rsidP="00633F6B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219A3299" wp14:editId="3393E4AF">
                <wp:extent cx="1170940" cy="681355"/>
                <wp:effectExtent l="0" t="0" r="0" b="4445"/>
                <wp:docPr id="7" name="Picture 0" descr="Administered by Gemserv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0" descr="Administered by Gemserv Logo.png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27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4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</w:tcPr>
        <w:p w14:paraId="33A4F786" w14:textId="77777777" w:rsidR="00800AF2" w:rsidRPr="00633F6B" w:rsidRDefault="00800AF2" w:rsidP="00633F6B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</w:tr>
    <w:tr w:rsidR="00800AF2" w:rsidRPr="00633F6B" w14:paraId="49850F50" w14:textId="77777777" w:rsidTr="00800AF2">
      <w:trPr>
        <w:trHeight w:val="540"/>
      </w:trPr>
      <w:tc>
        <w:tcPr>
          <w:tcW w:w="2995" w:type="dxa"/>
        </w:tcPr>
        <w:p w14:paraId="79141782" w14:textId="0DC993F3" w:rsidR="00800AF2" w:rsidRDefault="00800AF2" w:rsidP="000D492D">
          <w:pPr>
            <w:pStyle w:val="Footer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rFonts w:cs="Arial"/>
              <w:color w:val="595959" w:themeColor="text1" w:themeTint="A6"/>
              <w:sz w:val="16"/>
              <w:szCs w:val="16"/>
            </w:rPr>
            <w:t>SECMP</w:t>
          </w:r>
          <w:r w:rsidR="007B7546">
            <w:rPr>
              <w:rFonts w:cs="Arial"/>
              <w:color w:val="595959" w:themeColor="text1" w:themeTint="A6"/>
              <w:sz w:val="16"/>
              <w:szCs w:val="16"/>
            </w:rPr>
            <w:t>0056</w:t>
          </w:r>
          <w:r>
            <w:rPr>
              <w:rFonts w:cs="Arial"/>
              <w:color w:val="595959" w:themeColor="text1" w:themeTint="A6"/>
              <w:sz w:val="16"/>
              <w:szCs w:val="16"/>
            </w:rPr>
            <w:t xml:space="preserve"> Working Group Meeting </w:t>
          </w:r>
          <w:r w:rsidR="007B7546">
            <w:rPr>
              <w:rFonts w:cs="Arial"/>
              <w:color w:val="595959" w:themeColor="text1" w:themeTint="A6"/>
              <w:sz w:val="16"/>
              <w:szCs w:val="16"/>
            </w:rPr>
            <w:t>May 2019</w:t>
          </w:r>
          <w:r>
            <w:rPr>
              <w:rFonts w:cs="Arial"/>
              <w:color w:val="595959" w:themeColor="text1" w:themeTint="A6"/>
              <w:sz w:val="16"/>
              <w:szCs w:val="16"/>
            </w:rPr>
            <w:t xml:space="preserve"> Summary</w:t>
          </w:r>
        </w:p>
      </w:tc>
      <w:tc>
        <w:tcPr>
          <w:tcW w:w="3034" w:type="dxa"/>
          <w:vMerge/>
        </w:tcPr>
        <w:p w14:paraId="12D6C679" w14:textId="77777777" w:rsidR="00800AF2" w:rsidRDefault="00800AF2" w:rsidP="00633F6B">
          <w:pPr>
            <w:pStyle w:val="Footer"/>
            <w:jc w:val="center"/>
            <w:rPr>
              <w:noProof/>
              <w:lang w:eastAsia="en-GB"/>
            </w:rPr>
          </w:pPr>
        </w:p>
      </w:tc>
      <w:tc>
        <w:tcPr>
          <w:tcW w:w="2997" w:type="dxa"/>
        </w:tcPr>
        <w:p w14:paraId="5488C754" w14:textId="77777777" w:rsidR="00800AF2" w:rsidRDefault="00800AF2" w:rsidP="00800AF2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Page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PAGE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rFonts w:cs="Arial"/>
              <w:color w:val="595959" w:themeColor="text1" w:themeTint="A6"/>
              <w:sz w:val="16"/>
              <w:szCs w:val="16"/>
            </w:rPr>
            <w:t>1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 of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NUMPAGES 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rFonts w:cs="Arial"/>
              <w:color w:val="595959" w:themeColor="text1" w:themeTint="A6"/>
              <w:sz w:val="16"/>
              <w:szCs w:val="16"/>
            </w:rPr>
            <w:t>1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</w:p>
        <w:p w14:paraId="1E53C446" w14:textId="77777777" w:rsidR="00800AF2" w:rsidRDefault="00800AF2" w:rsidP="00800AF2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</w:p>
        <w:p w14:paraId="0E9D7458" w14:textId="77777777" w:rsidR="00800AF2" w:rsidRPr="00633F6B" w:rsidRDefault="00800AF2" w:rsidP="00800AF2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rFonts w:cs="Arial"/>
              <w:b/>
              <w:color w:val="595959" w:themeColor="text1" w:themeTint="A6"/>
              <w:sz w:val="16"/>
              <w:szCs w:val="16"/>
            </w:rPr>
            <w:t xml:space="preserve">This document has a Classification of </w:t>
          </w:r>
          <w:r w:rsidRPr="003423F3">
            <w:rPr>
              <w:rFonts w:cs="Arial"/>
              <w:b/>
              <w:color w:val="auto"/>
              <w:sz w:val="16"/>
              <w:szCs w:val="16"/>
            </w:rPr>
            <w:t>White</w:t>
          </w:r>
        </w:p>
      </w:tc>
    </w:tr>
  </w:tbl>
  <w:p w14:paraId="10A94483" w14:textId="77777777" w:rsidR="00DB0807" w:rsidRPr="00633F6B" w:rsidRDefault="00DB0807" w:rsidP="00633F6B">
    <w:pPr>
      <w:pStyle w:val="Footer"/>
      <w:spacing w:after="12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C88A3" w14:textId="77777777" w:rsidR="003A4BE0" w:rsidRDefault="003A4BE0" w:rsidP="004F458B">
      <w:pPr>
        <w:spacing w:after="0" w:line="240" w:lineRule="auto"/>
      </w:pPr>
      <w:r>
        <w:separator/>
      </w:r>
    </w:p>
  </w:footnote>
  <w:footnote w:type="continuationSeparator" w:id="0">
    <w:p w14:paraId="20389EED" w14:textId="77777777" w:rsidR="003A4BE0" w:rsidRDefault="003A4BE0" w:rsidP="004F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2A47" w14:textId="77777777" w:rsidR="003E558E" w:rsidRDefault="003E558E" w:rsidP="003E558E">
    <w:pPr>
      <w:pStyle w:val="Header"/>
      <w:jc w:val="right"/>
    </w:pPr>
    <w:r w:rsidRPr="003E558E">
      <w:rPr>
        <w:noProof/>
        <w:lang w:eastAsia="en-GB"/>
      </w:rPr>
      <w:drawing>
        <wp:inline distT="0" distB="0" distL="0" distR="0" wp14:anchorId="3B269683" wp14:editId="526902B8">
          <wp:extent cx="1457325" cy="1047750"/>
          <wp:effectExtent l="19050" t="0" r="9525" b="0"/>
          <wp:docPr id="4" name="Picture 4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2F29"/>
    <w:multiLevelType w:val="multilevel"/>
    <w:tmpl w:val="CCAEB4D6"/>
    <w:numStyleLink w:val="SECPanelPaperHeadings"/>
  </w:abstractNum>
  <w:abstractNum w:abstractNumId="1" w15:restartNumberingAfterBreak="0">
    <w:nsid w:val="092921F3"/>
    <w:multiLevelType w:val="hybridMultilevel"/>
    <w:tmpl w:val="85FC8572"/>
    <w:lvl w:ilvl="0" w:tplc="93FCAED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1FE8"/>
    <w:multiLevelType w:val="multilevel"/>
    <w:tmpl w:val="82382EC6"/>
    <w:styleLink w:val="Subtitl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61751B"/>
    <w:multiLevelType w:val="hybridMultilevel"/>
    <w:tmpl w:val="D676EAF2"/>
    <w:lvl w:ilvl="0" w:tplc="101C79B2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A1D"/>
    <w:multiLevelType w:val="hybridMultilevel"/>
    <w:tmpl w:val="DCBC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20731"/>
    <w:multiLevelType w:val="hybridMultilevel"/>
    <w:tmpl w:val="E6EEF080"/>
    <w:lvl w:ilvl="0" w:tplc="16BA51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77208"/>
    <w:multiLevelType w:val="hybridMultilevel"/>
    <w:tmpl w:val="B4465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E1821"/>
    <w:multiLevelType w:val="multilevel"/>
    <w:tmpl w:val="CCAEB4D6"/>
    <w:numStyleLink w:val="SECPanelPaperHeadings"/>
  </w:abstractNum>
  <w:abstractNum w:abstractNumId="8" w15:restartNumberingAfterBreak="0">
    <w:nsid w:val="213516B7"/>
    <w:multiLevelType w:val="multilevel"/>
    <w:tmpl w:val="CCAEB4D6"/>
    <w:numStyleLink w:val="SECPanelPaperHeadings"/>
  </w:abstractNum>
  <w:abstractNum w:abstractNumId="9" w15:restartNumberingAfterBreak="0">
    <w:nsid w:val="226F31A3"/>
    <w:multiLevelType w:val="multilevel"/>
    <w:tmpl w:val="CCAEB4D6"/>
    <w:numStyleLink w:val="SECPanelPaperHeadings"/>
  </w:abstractNum>
  <w:abstractNum w:abstractNumId="10" w15:restartNumberingAfterBreak="0">
    <w:nsid w:val="250C00BB"/>
    <w:multiLevelType w:val="hybridMultilevel"/>
    <w:tmpl w:val="C67AABC6"/>
    <w:lvl w:ilvl="0" w:tplc="5E46333C">
      <w:start w:val="1"/>
      <w:numFmt w:val="decimal"/>
      <w:lvlText w:val="%1."/>
      <w:lvlJc w:val="left"/>
      <w:pPr>
        <w:ind w:left="360" w:hanging="360"/>
      </w:pPr>
      <w:rPr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6480" w:hanging="360"/>
      </w:p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</w:lvl>
    <w:lvl w:ilvl="3" w:tplc="0809000F" w:tentative="1">
      <w:start w:val="1"/>
      <w:numFmt w:val="decimal"/>
      <w:lvlText w:val="%4."/>
      <w:lvlJc w:val="left"/>
      <w:pPr>
        <w:ind w:left="7920" w:hanging="360"/>
      </w:p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</w:lvl>
    <w:lvl w:ilvl="6" w:tplc="0809000F" w:tentative="1">
      <w:start w:val="1"/>
      <w:numFmt w:val="decimal"/>
      <w:lvlText w:val="%7."/>
      <w:lvlJc w:val="left"/>
      <w:pPr>
        <w:ind w:left="10080" w:hanging="360"/>
      </w:p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1" w15:restartNumberingAfterBreak="0">
    <w:nsid w:val="2FD10F06"/>
    <w:multiLevelType w:val="multilevel"/>
    <w:tmpl w:val="CCAEB4D6"/>
    <w:numStyleLink w:val="SECPanelPaperHeadings"/>
  </w:abstractNum>
  <w:abstractNum w:abstractNumId="12" w15:restartNumberingAfterBreak="0">
    <w:nsid w:val="33D64DFF"/>
    <w:multiLevelType w:val="hybridMultilevel"/>
    <w:tmpl w:val="EF68074A"/>
    <w:lvl w:ilvl="0" w:tplc="42529A7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25672"/>
    <w:multiLevelType w:val="singleLevel"/>
    <w:tmpl w:val="0ED43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4"/>
        <w:u w:val="none"/>
        <w:vertAlign w:val="baseline"/>
        <w:em w:val="none"/>
      </w:rPr>
    </w:lvl>
  </w:abstractNum>
  <w:abstractNum w:abstractNumId="14" w15:restartNumberingAfterBreak="0">
    <w:nsid w:val="51F02984"/>
    <w:multiLevelType w:val="multilevel"/>
    <w:tmpl w:val="CCAEB4D6"/>
    <w:styleLink w:val="SECPanelPaperHeading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09" w:hanging="709"/>
      </w:pPr>
      <w:rPr>
        <w:rFonts w:ascii="Arial" w:hAnsi="Arial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5" w15:restartNumberingAfterBreak="0">
    <w:nsid w:val="57BD47AC"/>
    <w:multiLevelType w:val="hybridMultilevel"/>
    <w:tmpl w:val="B3FAEB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816AAE"/>
    <w:multiLevelType w:val="multilevel"/>
    <w:tmpl w:val="A59E4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F3079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5DD2338"/>
    <w:multiLevelType w:val="multilevel"/>
    <w:tmpl w:val="CCAEB4D6"/>
    <w:numStyleLink w:val="SECPanelPaperHeadings"/>
  </w:abstractNum>
  <w:abstractNum w:abstractNumId="19" w15:restartNumberingAfterBreak="0">
    <w:nsid w:val="70111706"/>
    <w:multiLevelType w:val="multilevel"/>
    <w:tmpl w:val="CCAEB4D6"/>
    <w:numStyleLink w:val="SECPanelPaperHeadings"/>
  </w:abstractNum>
  <w:abstractNum w:abstractNumId="20" w15:restartNumberingAfterBreak="0">
    <w:nsid w:val="74430771"/>
    <w:multiLevelType w:val="hybridMultilevel"/>
    <w:tmpl w:val="36605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413F1"/>
    <w:multiLevelType w:val="multilevel"/>
    <w:tmpl w:val="C8EED5CE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none"/>
      <w:isLgl/>
      <w:lvlText w:val="1.1"/>
      <w:lvlJc w:val="left"/>
      <w:pPr>
        <w:ind w:left="709" w:hanging="709"/>
      </w:pPr>
      <w:rPr>
        <w:rFonts w:ascii="Arial" w:hAnsi="Arial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2" w15:restartNumberingAfterBreak="0">
    <w:nsid w:val="7C603B0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A25C35"/>
    <w:multiLevelType w:val="multilevel"/>
    <w:tmpl w:val="A0742560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80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68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16"/>
  </w:num>
  <w:num w:numId="7">
    <w:abstractNumId w:val="22"/>
  </w:num>
  <w:num w:numId="8">
    <w:abstractNumId w:val="14"/>
  </w:num>
  <w:num w:numId="9">
    <w:abstractNumId w:val="9"/>
  </w:num>
  <w:num w:numId="10">
    <w:abstractNumId w:val="7"/>
  </w:num>
  <w:num w:numId="11">
    <w:abstractNumId w:val="11"/>
  </w:num>
  <w:num w:numId="12">
    <w:abstractNumId w:val="18"/>
  </w:num>
  <w:num w:numId="13">
    <w:abstractNumId w:val="21"/>
  </w:num>
  <w:num w:numId="14">
    <w:abstractNumId w:val="8"/>
  </w:num>
  <w:num w:numId="15">
    <w:abstractNumId w:val="19"/>
  </w:num>
  <w:num w:numId="16">
    <w:abstractNumId w:val="0"/>
  </w:num>
  <w:num w:numId="17">
    <w:abstractNumId w:val="13"/>
  </w:num>
  <w:num w:numId="18">
    <w:abstractNumId w:val="1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3"/>
  </w:num>
  <w:num w:numId="23">
    <w:abstractNumId w:val="23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kern w:val="0"/>
          <w:position w:val="0"/>
          <w:sz w:val="24"/>
          <w:u w:val="none"/>
          <w:vertAlign w:val="baseline"/>
          <w:em w:val="none"/>
        </w:rPr>
      </w:lvl>
    </w:lvlOverride>
    <w:lvlOverride w:ilvl="1">
      <w:lvl w:ilvl="1">
        <w:start w:val="1"/>
        <w:numFmt w:val="none"/>
        <w:lvlText w:val="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680" w:hanging="68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80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80" w:hanging="68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0" w:hanging="68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0" w:hanging="680"/>
        </w:pPr>
        <w:rPr>
          <w:rFonts w:hint="default"/>
        </w:rPr>
      </w:lvl>
    </w:lvlOverride>
  </w:num>
  <w:num w:numId="24">
    <w:abstractNumId w:val="23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kern w:val="0"/>
          <w:position w:val="0"/>
          <w:sz w:val="24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680" w:hanging="68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80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80" w:hanging="68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0" w:hanging="68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0" w:hanging="680"/>
        </w:pPr>
        <w:rPr>
          <w:rFonts w:hint="default"/>
        </w:rPr>
      </w:lvl>
    </w:lvlOverride>
  </w:num>
  <w:num w:numId="25">
    <w:abstractNumId w:val="23"/>
  </w:num>
  <w:num w:numId="26">
    <w:abstractNumId w:val="20"/>
  </w:num>
  <w:num w:numId="27">
    <w:abstractNumId w:val="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6C"/>
    <w:rsid w:val="00020BA4"/>
    <w:rsid w:val="00067AFA"/>
    <w:rsid w:val="00075828"/>
    <w:rsid w:val="00091612"/>
    <w:rsid w:val="000B30A4"/>
    <w:rsid w:val="000B4FAB"/>
    <w:rsid w:val="000C5748"/>
    <w:rsid w:val="000D0828"/>
    <w:rsid w:val="000D492D"/>
    <w:rsid w:val="000E6A3C"/>
    <w:rsid w:val="000E6DD9"/>
    <w:rsid w:val="000F4376"/>
    <w:rsid w:val="00102237"/>
    <w:rsid w:val="0010448B"/>
    <w:rsid w:val="00152E20"/>
    <w:rsid w:val="0015743D"/>
    <w:rsid w:val="00183CDB"/>
    <w:rsid w:val="001855DA"/>
    <w:rsid w:val="00190480"/>
    <w:rsid w:val="00192FAC"/>
    <w:rsid w:val="00196A93"/>
    <w:rsid w:val="001A50E5"/>
    <w:rsid w:val="001C32E8"/>
    <w:rsid w:val="001E4249"/>
    <w:rsid w:val="00224691"/>
    <w:rsid w:val="002357F7"/>
    <w:rsid w:val="0024177C"/>
    <w:rsid w:val="00251BB8"/>
    <w:rsid w:val="00251E29"/>
    <w:rsid w:val="00267F7B"/>
    <w:rsid w:val="00283D8C"/>
    <w:rsid w:val="002A0870"/>
    <w:rsid w:val="002A46ED"/>
    <w:rsid w:val="002E0EC9"/>
    <w:rsid w:val="002F1749"/>
    <w:rsid w:val="002F2338"/>
    <w:rsid w:val="002F39BD"/>
    <w:rsid w:val="00306C4B"/>
    <w:rsid w:val="003103AF"/>
    <w:rsid w:val="00331B41"/>
    <w:rsid w:val="00332631"/>
    <w:rsid w:val="003423F3"/>
    <w:rsid w:val="003425F2"/>
    <w:rsid w:val="00347F6A"/>
    <w:rsid w:val="00384B39"/>
    <w:rsid w:val="00391B14"/>
    <w:rsid w:val="003935E6"/>
    <w:rsid w:val="003A4BE0"/>
    <w:rsid w:val="003A556D"/>
    <w:rsid w:val="003C08F7"/>
    <w:rsid w:val="003C1DF0"/>
    <w:rsid w:val="003C4345"/>
    <w:rsid w:val="003D4B63"/>
    <w:rsid w:val="003E558E"/>
    <w:rsid w:val="00404C8C"/>
    <w:rsid w:val="004170C6"/>
    <w:rsid w:val="0043667E"/>
    <w:rsid w:val="00441D82"/>
    <w:rsid w:val="00463094"/>
    <w:rsid w:val="00471CC6"/>
    <w:rsid w:val="004D00F1"/>
    <w:rsid w:val="004D380A"/>
    <w:rsid w:val="004E1DB7"/>
    <w:rsid w:val="004F458B"/>
    <w:rsid w:val="00530099"/>
    <w:rsid w:val="00552455"/>
    <w:rsid w:val="005613A7"/>
    <w:rsid w:val="00571E51"/>
    <w:rsid w:val="0060781C"/>
    <w:rsid w:val="006240A4"/>
    <w:rsid w:val="00633F6B"/>
    <w:rsid w:val="0064797F"/>
    <w:rsid w:val="0065625F"/>
    <w:rsid w:val="00661BA9"/>
    <w:rsid w:val="0068082B"/>
    <w:rsid w:val="0069226B"/>
    <w:rsid w:val="006B0D39"/>
    <w:rsid w:val="006B1076"/>
    <w:rsid w:val="006B1B0C"/>
    <w:rsid w:val="006D1654"/>
    <w:rsid w:val="006D3E3A"/>
    <w:rsid w:val="006E5908"/>
    <w:rsid w:val="006F3E28"/>
    <w:rsid w:val="00712849"/>
    <w:rsid w:val="00744B12"/>
    <w:rsid w:val="00747040"/>
    <w:rsid w:val="00783DBF"/>
    <w:rsid w:val="00793FD4"/>
    <w:rsid w:val="007A4826"/>
    <w:rsid w:val="007A5CA3"/>
    <w:rsid w:val="007B7546"/>
    <w:rsid w:val="007E58E4"/>
    <w:rsid w:val="007E6ECB"/>
    <w:rsid w:val="00800AF2"/>
    <w:rsid w:val="00855057"/>
    <w:rsid w:val="0086220C"/>
    <w:rsid w:val="00862303"/>
    <w:rsid w:val="00867706"/>
    <w:rsid w:val="008738E4"/>
    <w:rsid w:val="00881CA8"/>
    <w:rsid w:val="0089731C"/>
    <w:rsid w:val="008A01C2"/>
    <w:rsid w:val="008C0612"/>
    <w:rsid w:val="00927023"/>
    <w:rsid w:val="00962B86"/>
    <w:rsid w:val="00964CD2"/>
    <w:rsid w:val="00971D14"/>
    <w:rsid w:val="009865F7"/>
    <w:rsid w:val="00991C2D"/>
    <w:rsid w:val="009931E7"/>
    <w:rsid w:val="009A7772"/>
    <w:rsid w:val="009E14DA"/>
    <w:rsid w:val="00A07DC7"/>
    <w:rsid w:val="00A16AF3"/>
    <w:rsid w:val="00A54644"/>
    <w:rsid w:val="00A72F6D"/>
    <w:rsid w:val="00A75FD0"/>
    <w:rsid w:val="00A81107"/>
    <w:rsid w:val="00AC1347"/>
    <w:rsid w:val="00AF6417"/>
    <w:rsid w:val="00AF7F93"/>
    <w:rsid w:val="00B02B31"/>
    <w:rsid w:val="00B13A0A"/>
    <w:rsid w:val="00B242DE"/>
    <w:rsid w:val="00B80B19"/>
    <w:rsid w:val="00B943CC"/>
    <w:rsid w:val="00BA0BEE"/>
    <w:rsid w:val="00BC2A21"/>
    <w:rsid w:val="00BD1C03"/>
    <w:rsid w:val="00BD2ADD"/>
    <w:rsid w:val="00BD70A6"/>
    <w:rsid w:val="00BD742D"/>
    <w:rsid w:val="00BD7F0E"/>
    <w:rsid w:val="00C420BA"/>
    <w:rsid w:val="00C43704"/>
    <w:rsid w:val="00CA1D8C"/>
    <w:rsid w:val="00CA508D"/>
    <w:rsid w:val="00CE018A"/>
    <w:rsid w:val="00CF5044"/>
    <w:rsid w:val="00D15D55"/>
    <w:rsid w:val="00D24FC2"/>
    <w:rsid w:val="00D31291"/>
    <w:rsid w:val="00D356AD"/>
    <w:rsid w:val="00D63701"/>
    <w:rsid w:val="00D70ECB"/>
    <w:rsid w:val="00D7786C"/>
    <w:rsid w:val="00D9647C"/>
    <w:rsid w:val="00DA1B1A"/>
    <w:rsid w:val="00DB0807"/>
    <w:rsid w:val="00E1288E"/>
    <w:rsid w:val="00E1536A"/>
    <w:rsid w:val="00E3126E"/>
    <w:rsid w:val="00E35AA8"/>
    <w:rsid w:val="00E42FFB"/>
    <w:rsid w:val="00E4508B"/>
    <w:rsid w:val="00E454BA"/>
    <w:rsid w:val="00E5727E"/>
    <w:rsid w:val="00E84A70"/>
    <w:rsid w:val="00EA6D48"/>
    <w:rsid w:val="00EC7DAB"/>
    <w:rsid w:val="00EE33BF"/>
    <w:rsid w:val="00F0008C"/>
    <w:rsid w:val="00F16CBA"/>
    <w:rsid w:val="00F2733F"/>
    <w:rsid w:val="00F47D15"/>
    <w:rsid w:val="00F57FE2"/>
    <w:rsid w:val="00F635A3"/>
    <w:rsid w:val="00F76EC5"/>
    <w:rsid w:val="00FC5CC6"/>
    <w:rsid w:val="00FC6BAA"/>
    <w:rsid w:val="00FD5A59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C1C189"/>
  <w15:docId w15:val="{217AAE35-4B78-4C12-B26E-50AE576D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EC Paper Body"/>
    <w:qFormat/>
    <w:rsid w:val="00CE018A"/>
    <w:pPr>
      <w:spacing w:after="120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D0828"/>
    <w:pPr>
      <w:keepNext/>
      <w:keepLines/>
      <w:numPr>
        <w:numId w:val="1"/>
      </w:numPr>
      <w:spacing w:before="480" w:after="36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D0828"/>
    <w:pPr>
      <w:keepNext/>
      <w:keepLines/>
      <w:numPr>
        <w:numId w:val="2"/>
      </w:numPr>
      <w:spacing w:before="120"/>
      <w:ind w:left="357" w:hanging="357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58B"/>
  </w:style>
  <w:style w:type="paragraph" w:styleId="Footer">
    <w:name w:val="footer"/>
    <w:basedOn w:val="Normal"/>
    <w:link w:val="FooterChar"/>
    <w:uiPriority w:val="99"/>
    <w:unhideWhenUsed/>
    <w:rsid w:val="004F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8B"/>
  </w:style>
  <w:style w:type="paragraph" w:styleId="BalloonText">
    <w:name w:val="Balloon Text"/>
    <w:basedOn w:val="Normal"/>
    <w:link w:val="BalloonTextChar"/>
    <w:uiPriority w:val="99"/>
    <w:semiHidden/>
    <w:unhideWhenUsed/>
    <w:rsid w:val="004F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0828"/>
    <w:rPr>
      <w:rFonts w:ascii="Arial" w:eastAsiaTheme="majorEastAsia" w:hAnsi="Arial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0828"/>
    <w:rPr>
      <w:rFonts w:ascii="Arial" w:eastAsiaTheme="majorEastAsia" w:hAnsi="Arial" w:cstheme="majorBidi"/>
      <w:b/>
      <w:bCs/>
      <w:color w:val="404040" w:themeColor="text1" w:themeTint="BF"/>
      <w:szCs w:val="26"/>
    </w:rPr>
  </w:style>
  <w:style w:type="paragraph" w:styleId="Title">
    <w:name w:val="Title"/>
    <w:basedOn w:val="Normal"/>
    <w:next w:val="Normal"/>
    <w:link w:val="TitleChar"/>
    <w:uiPriority w:val="10"/>
    <w:rsid w:val="000D0828"/>
    <w:pPr>
      <w:spacing w:before="240" w:after="480" w:line="240" w:lineRule="auto"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828"/>
    <w:rPr>
      <w:rFonts w:ascii="Arial" w:eastAsiaTheme="majorEastAsia" w:hAnsi="Arial" w:cstheme="majorBidi"/>
      <w:b/>
      <w:color w:val="404040" w:themeColor="text1" w:themeTint="BF"/>
      <w:spacing w:val="5"/>
      <w:kern w:val="28"/>
      <w:sz w:val="32"/>
      <w:szCs w:val="52"/>
    </w:rPr>
  </w:style>
  <w:style w:type="paragraph" w:styleId="Subtitle">
    <w:name w:val="Subtitle"/>
    <w:aliases w:val="Heading"/>
    <w:basedOn w:val="Normal"/>
    <w:next w:val="Normal"/>
    <w:link w:val="SubtitleChar"/>
    <w:autoRedefine/>
    <w:uiPriority w:val="11"/>
    <w:qFormat/>
    <w:rsid w:val="00CF5044"/>
    <w:pPr>
      <w:keepNext/>
      <w:spacing w:before="480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aliases w:val="Heading Char"/>
    <w:basedOn w:val="DefaultParagraphFont"/>
    <w:link w:val="Subtitle"/>
    <w:uiPriority w:val="11"/>
    <w:rsid w:val="00CF5044"/>
    <w:rPr>
      <w:rFonts w:ascii="Arial" w:eastAsiaTheme="majorEastAsia" w:hAnsi="Arial" w:cstheme="majorBidi"/>
      <w:b/>
      <w:iCs/>
      <w:color w:val="404040" w:themeColor="text1" w:themeTint="BF"/>
      <w:spacing w:val="15"/>
      <w:sz w:val="24"/>
      <w:szCs w:val="24"/>
    </w:rPr>
  </w:style>
  <w:style w:type="character" w:customStyle="1" w:styleId="MRABodyChar">
    <w:name w:val="MRA Body Char"/>
    <w:basedOn w:val="DefaultParagraphFont"/>
    <w:link w:val="MRABody"/>
    <w:locked/>
    <w:rsid w:val="00E1288E"/>
  </w:style>
  <w:style w:type="paragraph" w:customStyle="1" w:styleId="MRABody">
    <w:name w:val="MRA Body"/>
    <w:basedOn w:val="Normal"/>
    <w:link w:val="MRABodyChar"/>
    <w:rsid w:val="00E1288E"/>
    <w:pPr>
      <w:keepLines/>
      <w:spacing w:line="288" w:lineRule="auto"/>
      <w:jc w:val="both"/>
    </w:pPr>
    <w:rPr>
      <w:rFonts w:asciiTheme="minorHAnsi" w:hAnsiTheme="minorHAnsi"/>
      <w:color w:val="auto"/>
      <w:sz w:val="22"/>
    </w:rPr>
  </w:style>
  <w:style w:type="table" w:customStyle="1" w:styleId="SECTable">
    <w:name w:val="SEC Table"/>
    <w:basedOn w:val="TableNormal"/>
    <w:uiPriority w:val="99"/>
    <w:rsid w:val="00881CA8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B0F0"/>
      </w:tcPr>
    </w:tblStylePr>
  </w:style>
  <w:style w:type="paragraph" w:styleId="ListParagraph">
    <w:name w:val="List Paragraph"/>
    <w:aliases w:val="SEC Bullet Point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EE33BF"/>
    <w:pPr>
      <w:numPr>
        <w:numId w:val="4"/>
      </w:numPr>
      <w:ind w:left="777" w:hanging="357"/>
    </w:pPr>
  </w:style>
  <w:style w:type="paragraph" w:customStyle="1" w:styleId="SECPaperTitle">
    <w:name w:val="SEC Paper Title"/>
    <w:basedOn w:val="Title"/>
    <w:link w:val="SECPaperTitleChar"/>
    <w:qFormat/>
    <w:rsid w:val="001E4249"/>
  </w:style>
  <w:style w:type="paragraph" w:customStyle="1" w:styleId="Sub-Heading">
    <w:name w:val="Sub-Heading"/>
    <w:basedOn w:val="Normal"/>
    <w:link w:val="Sub-HeadingChar"/>
    <w:rsid w:val="00267F7B"/>
    <w:rPr>
      <w:b/>
    </w:rPr>
  </w:style>
  <w:style w:type="character" w:customStyle="1" w:styleId="SECPaperTitleChar">
    <w:name w:val="SEC Paper Title Char"/>
    <w:basedOn w:val="TitleChar"/>
    <w:link w:val="SECPaperTitle"/>
    <w:rsid w:val="001E4249"/>
    <w:rPr>
      <w:rFonts w:ascii="Arial" w:eastAsiaTheme="majorEastAsia" w:hAnsi="Arial" w:cstheme="majorBidi"/>
      <w:b/>
      <w:color w:val="404040" w:themeColor="text1" w:themeTint="BF"/>
      <w:spacing w:val="5"/>
      <w:kern w:val="28"/>
      <w:sz w:val="32"/>
      <w:szCs w:val="52"/>
    </w:rPr>
  </w:style>
  <w:style w:type="numbering" w:customStyle="1" w:styleId="SECPanelPaperHeadings">
    <w:name w:val="SEC Panel Paper Headings"/>
    <w:uiPriority w:val="99"/>
    <w:rsid w:val="00E5727E"/>
    <w:pPr>
      <w:numPr>
        <w:numId w:val="8"/>
      </w:numPr>
    </w:pPr>
  </w:style>
  <w:style w:type="character" w:customStyle="1" w:styleId="Sub-HeadingChar">
    <w:name w:val="Sub-Heading Char"/>
    <w:basedOn w:val="DefaultParagraphFont"/>
    <w:link w:val="Sub-Heading"/>
    <w:rsid w:val="00267F7B"/>
    <w:rPr>
      <w:rFonts w:ascii="Arial" w:hAnsi="Arial"/>
      <w:b/>
      <w:color w:val="404040" w:themeColor="text1" w:themeTint="BF"/>
      <w:sz w:val="20"/>
    </w:rPr>
  </w:style>
  <w:style w:type="paragraph" w:styleId="Caption">
    <w:name w:val="caption"/>
    <w:aliases w:val="Caption SEC Table"/>
    <w:basedOn w:val="Sub-Heading"/>
    <w:next w:val="Normal"/>
    <w:uiPriority w:val="35"/>
    <w:unhideWhenUsed/>
    <w:qFormat/>
    <w:rsid w:val="00267F7B"/>
    <w:pPr>
      <w:ind w:left="709" w:hanging="709"/>
      <w:jc w:val="right"/>
    </w:pPr>
    <w:rPr>
      <w:i/>
    </w:rPr>
  </w:style>
  <w:style w:type="paragraph" w:customStyle="1" w:styleId="Subheading">
    <w:name w:val="Subheading"/>
    <w:basedOn w:val="Subtitle"/>
    <w:next w:val="Normal"/>
    <w:qFormat/>
    <w:rsid w:val="00F57FE2"/>
    <w:pPr>
      <w:numPr>
        <w:ilvl w:val="1"/>
      </w:numPr>
      <w:spacing w:before="0"/>
    </w:pPr>
    <w:rPr>
      <w:sz w:val="20"/>
    </w:rPr>
  </w:style>
  <w:style w:type="numbering" w:customStyle="1" w:styleId="Subtitles">
    <w:name w:val="Subtitles"/>
    <w:uiPriority w:val="99"/>
    <w:rsid w:val="00A75FD0"/>
    <w:pPr>
      <w:numPr>
        <w:numId w:val="19"/>
      </w:numPr>
    </w:pPr>
  </w:style>
  <w:style w:type="paragraph" w:customStyle="1" w:styleId="TableHeading">
    <w:name w:val="Table Heading"/>
    <w:basedOn w:val="Normal"/>
    <w:link w:val="TableHeadingChar"/>
    <w:qFormat/>
    <w:rsid w:val="003C08F7"/>
    <w:pPr>
      <w:spacing w:after="0" w:line="240" w:lineRule="auto"/>
      <w:jc w:val="center"/>
    </w:pPr>
    <w:rPr>
      <w:rFonts w:eastAsiaTheme="minorEastAsia" w:cs="Arial"/>
      <w:b/>
      <w:color w:val="FFFFFF" w:themeColor="background1"/>
      <w:sz w:val="22"/>
      <w:lang w:eastAsia="en-GB"/>
    </w:rPr>
  </w:style>
  <w:style w:type="character" w:customStyle="1" w:styleId="TableHeadingChar">
    <w:name w:val="Table Heading Char"/>
    <w:basedOn w:val="DefaultParagraphFont"/>
    <w:link w:val="TableHeading"/>
    <w:rsid w:val="003C08F7"/>
    <w:rPr>
      <w:rFonts w:ascii="Arial" w:eastAsiaTheme="minorEastAsia" w:hAnsi="Arial" w:cs="Arial"/>
      <w:b/>
      <w:color w:val="FFFFFF" w:themeColor="background1"/>
      <w:lang w:eastAsia="en-GB"/>
    </w:rPr>
  </w:style>
  <w:style w:type="character" w:customStyle="1" w:styleId="ListParagraphChar">
    <w:name w:val="List Paragraph Char"/>
    <w:aliases w:val="SEC Bullet Point Char,Dot pt Char,No Spacing1 Char,List Paragraph Char Char Char Char,Indicator Text Char,Numbered Para 1 Char,List Paragraph1 Char,Bullet 1 Char,Bullet Points Char,MAIN CONTENT Char,List Paragraph12 Char"/>
    <w:basedOn w:val="DefaultParagraphFont"/>
    <w:link w:val="ListParagraph"/>
    <w:uiPriority w:val="34"/>
    <w:qFormat/>
    <w:locked/>
    <w:rsid w:val="003C08F7"/>
    <w:rPr>
      <w:rFonts w:ascii="Arial" w:hAnsi="Arial"/>
      <w:color w:val="404040" w:themeColor="text1" w:themeTint="BF"/>
      <w:sz w:val="20"/>
    </w:rPr>
  </w:style>
  <w:style w:type="table" w:customStyle="1" w:styleId="TableGrid1">
    <w:name w:val="Table Grid1"/>
    <w:basedOn w:val="TableNormal"/>
    <w:uiPriority w:val="59"/>
    <w:rsid w:val="003C08F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7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7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706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706"/>
    <w:rPr>
      <w:rFonts w:ascii="Arial" w:hAnsi="Arial"/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4DB1.05F9C98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lients\SECCo\05%20-%20Modifications\01%20-%20Modifications\Templates\4%20-%20Other%20Items\Working%20Group%20Meeting%20Summ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3677-9812-4F6A-832A-BF75B43E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Group Meeting Summary Template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SECMP0056 Working Group Meeting summary - 1 May 2019</vt:lpstr>
    </vt:vector>
  </TitlesOfParts>
  <Company>Gemserv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SECMP0056 Working Group Meeting Summary May 2019</dc:title>
  <dc:creator>Ali Beard</dc:creator>
  <cp:lastModifiedBy>Alison Beard</cp:lastModifiedBy>
  <cp:revision>4</cp:revision>
  <dcterms:created xsi:type="dcterms:W3CDTF">2019-05-07T14:02:00Z</dcterms:created>
  <dcterms:modified xsi:type="dcterms:W3CDTF">2019-05-14T08:48:00Z</dcterms:modified>
</cp:coreProperties>
</file>