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925A" w14:textId="71679D20" w:rsidR="003423F3" w:rsidRDefault="003423F3" w:rsidP="003423F3">
      <w:pPr>
        <w:pStyle w:val="SECPaperTitle"/>
        <w:spacing w:before="0" w:after="240"/>
        <w:rPr>
          <w:sz w:val="30"/>
          <w:szCs w:val="30"/>
        </w:rPr>
      </w:pPr>
      <w:bookmarkStart w:id="0" w:name="_GoBack"/>
      <w:bookmarkEnd w:id="0"/>
      <w:r>
        <w:rPr>
          <w:noProof/>
          <w:lang w:eastAsia="en-GB"/>
        </w:rPr>
        <mc:AlternateContent>
          <mc:Choice Requires="wps">
            <w:drawing>
              <wp:anchor distT="45720" distB="45720" distL="114300" distR="114300" simplePos="0" relativeHeight="251661312" behindDoc="0" locked="0" layoutInCell="1" allowOverlap="1" wp14:anchorId="734E4FA2" wp14:editId="1E51FC3B">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4BB8E3E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F0B8543"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E4FA2"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4BB8E3E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F0B8543" w14:textId="77777777" w:rsidR="003423F3" w:rsidRPr="003D092C" w:rsidRDefault="003423F3" w:rsidP="003423F3">
                      <w:pPr>
                        <w:rPr>
                          <w:sz w:val="24"/>
                        </w:rPr>
                      </w:pPr>
                    </w:p>
                  </w:txbxContent>
                </v:textbox>
                <w10:wrap type="square" anchorx="margin"/>
              </v:shape>
            </w:pict>
          </mc:Fallback>
        </mc:AlternateContent>
      </w:r>
      <w:r w:rsidR="00357FCF" w:rsidRPr="00357FCF">
        <w:rPr>
          <w:noProof/>
          <w:lang w:eastAsia="en-GB"/>
        </w:rPr>
        <w:t>Highlights of the Code Administrator Code of Practice (CACoP) Forum</w:t>
      </w:r>
    </w:p>
    <w:p w14:paraId="32325EBD" w14:textId="5D0661C2" w:rsidR="003423F3" w:rsidRPr="008E76FA" w:rsidRDefault="003423F3" w:rsidP="00357FCF">
      <w:pPr>
        <w:pStyle w:val="SECPaperTitle"/>
        <w:spacing w:before="0" w:after="240"/>
        <w:jc w:val="left"/>
        <w:rPr>
          <w:sz w:val="30"/>
          <w:szCs w:val="30"/>
        </w:rPr>
      </w:pPr>
    </w:p>
    <w:p w14:paraId="51693C8B" w14:textId="5ACA35CC" w:rsidR="003423F3" w:rsidRDefault="00357FCF" w:rsidP="003423F3">
      <w:pPr>
        <w:spacing w:after="200"/>
        <w:jc w:val="center"/>
        <w:rPr>
          <w:rFonts w:eastAsiaTheme="minorEastAsia" w:cs="Arial"/>
          <w:b/>
          <w:sz w:val="24"/>
          <w:szCs w:val="24"/>
          <w:lang w:eastAsia="en-GB"/>
        </w:rPr>
      </w:pPr>
      <w:r>
        <w:rPr>
          <w:rFonts w:eastAsiaTheme="minorEastAsia" w:cs="Arial"/>
          <w:b/>
          <w:sz w:val="24"/>
          <w:szCs w:val="24"/>
          <w:lang w:eastAsia="en-GB"/>
        </w:rPr>
        <w:t>19</w:t>
      </w:r>
      <w:r w:rsidR="003423F3" w:rsidRPr="00BA0BEE">
        <w:rPr>
          <w:rFonts w:eastAsiaTheme="minorEastAsia" w:cs="Arial"/>
          <w:b/>
          <w:sz w:val="24"/>
          <w:szCs w:val="24"/>
          <w:lang w:eastAsia="en-GB"/>
        </w:rPr>
        <w:t xml:space="preserve"> M</w:t>
      </w:r>
      <w:r w:rsidR="00BD7F0E" w:rsidRPr="00BA0BEE">
        <w:rPr>
          <w:rFonts w:eastAsiaTheme="minorEastAsia" w:cs="Arial"/>
          <w:b/>
          <w:sz w:val="24"/>
          <w:szCs w:val="24"/>
          <w:lang w:eastAsia="en-GB"/>
        </w:rPr>
        <w:t>a</w:t>
      </w:r>
      <w:r>
        <w:rPr>
          <w:rFonts w:eastAsiaTheme="minorEastAsia" w:cs="Arial"/>
          <w:b/>
          <w:sz w:val="24"/>
          <w:szCs w:val="24"/>
          <w:lang w:eastAsia="en-GB"/>
        </w:rPr>
        <w:t>rch</w:t>
      </w:r>
      <w:r w:rsidR="003423F3" w:rsidRPr="00BA0BEE">
        <w:rPr>
          <w:rFonts w:eastAsiaTheme="minorEastAsia" w:cs="Arial"/>
          <w:b/>
          <w:sz w:val="24"/>
          <w:szCs w:val="24"/>
          <w:lang w:eastAsia="en-GB"/>
        </w:rPr>
        <w:t xml:space="preserve"> </w:t>
      </w:r>
      <w:r w:rsidR="00BD7F0E" w:rsidRPr="00BA0BEE">
        <w:rPr>
          <w:rFonts w:eastAsiaTheme="minorEastAsia" w:cs="Arial"/>
          <w:b/>
          <w:sz w:val="24"/>
          <w:szCs w:val="24"/>
          <w:lang w:eastAsia="en-GB"/>
        </w:rPr>
        <w:t>2019</w:t>
      </w:r>
      <w:r>
        <w:rPr>
          <w:rFonts w:eastAsiaTheme="minorEastAsia" w:cs="Arial"/>
          <w:b/>
          <w:sz w:val="24"/>
          <w:szCs w:val="24"/>
          <w:lang w:eastAsia="en-GB"/>
        </w:rPr>
        <w:t>, National Grid</w:t>
      </w:r>
      <w:r w:rsidR="00BA0BEE">
        <w:rPr>
          <w:rFonts w:eastAsiaTheme="minorEastAsia" w:cs="Arial"/>
          <w:b/>
          <w:sz w:val="24"/>
          <w:szCs w:val="24"/>
          <w:lang w:eastAsia="en-GB"/>
        </w:rPr>
        <w:t xml:space="preserve"> Offices</w:t>
      </w:r>
    </w:p>
    <w:p w14:paraId="4D449010" w14:textId="77777777" w:rsidR="00D70ECB" w:rsidRDefault="003423F3" w:rsidP="003423F3">
      <w:pPr>
        <w:pStyle w:val="SECPaperTitle"/>
        <w:spacing w:after="120"/>
      </w:pPr>
      <w:r>
        <w:rPr>
          <w:rFonts w:eastAsiaTheme="minorEastAsia" w:cs="Arial"/>
          <w:szCs w:val="32"/>
          <w:lang w:eastAsia="en-GB"/>
        </w:rPr>
        <w:t>Meeting summary</w:t>
      </w:r>
    </w:p>
    <w:p w14:paraId="0CABCAB0" w14:textId="77777777" w:rsidR="00357FCF" w:rsidRDefault="00357FCF" w:rsidP="00357FCF"/>
    <w:p w14:paraId="3CF57EBE" w14:textId="1A7EC72D" w:rsidR="00357FCF" w:rsidRDefault="00357FCF" w:rsidP="00357FCF">
      <w:r>
        <w:t xml:space="preserve">At every meeting, </w:t>
      </w:r>
      <w:proofErr w:type="spellStart"/>
      <w:r>
        <w:t>CACoP</w:t>
      </w:r>
      <w:proofErr w:type="spellEnd"/>
      <w:r>
        <w:t xml:space="preserve"> share industry updates. These updates are individual Code developments which have cross code impacts for consideration and discussion by all Code Administrators with the intention that these are highlighted to you.</w:t>
      </w:r>
    </w:p>
    <w:p w14:paraId="44631B51" w14:textId="77777777" w:rsidR="00357FCF" w:rsidRDefault="00357FCF" w:rsidP="00357FCF"/>
    <w:p w14:paraId="310C1A36" w14:textId="561FBEA3" w:rsidR="00357FCF" w:rsidRDefault="00357FCF" w:rsidP="00357FCF">
      <w:r>
        <w:t>Alongside this, the following points were discussed:</w:t>
      </w:r>
    </w:p>
    <w:p w14:paraId="385665A1" w14:textId="2131A609" w:rsidR="00357FCF" w:rsidRDefault="00357FCF" w:rsidP="00357FCF">
      <w:pPr>
        <w:pStyle w:val="ListParagraph"/>
        <w:numPr>
          <w:ilvl w:val="0"/>
          <w:numId w:val="31"/>
        </w:numPr>
      </w:pPr>
      <w:r>
        <w:t>The Central Modification Register (CMR) contains all Live modifications across all Codes. All new additions to the CMR since January 2019 were discussed to review and record any cross-code impacts. The Code Administrator for the impacted Code will notify you of any considerations or next steps. The CRM is available</w:t>
      </w:r>
      <w:r w:rsidR="006553A7">
        <w:t xml:space="preserve"> </w:t>
      </w:r>
      <w:hyperlink r:id="rId8" w:history="1">
        <w:r w:rsidR="006553A7" w:rsidRPr="006553A7">
          <w:rPr>
            <w:rStyle w:val="Hyperlink"/>
          </w:rPr>
          <w:t>here</w:t>
        </w:r>
      </w:hyperlink>
      <w:r w:rsidR="006553A7">
        <w:t>.</w:t>
      </w:r>
      <w:r>
        <w:t xml:space="preserve"> </w:t>
      </w:r>
    </w:p>
    <w:p w14:paraId="6585AD6C" w14:textId="1BD94668" w:rsidR="00357FCF" w:rsidRDefault="00357FCF" w:rsidP="00357FCF">
      <w:pPr>
        <w:pStyle w:val="ListParagraph"/>
        <w:numPr>
          <w:ilvl w:val="0"/>
          <w:numId w:val="31"/>
        </w:numPr>
      </w:pPr>
      <w:r>
        <w:t>A line by line review was completed of the ‘Horizon Scan’. The Horizon Scan is a forward view from now until 2025 and beyond of industry change</w:t>
      </w:r>
      <w:r w:rsidR="006553A7">
        <w:t>,</w:t>
      </w:r>
      <w:r>
        <w:t xml:space="preserve"> designed to highlight the changing horizon and cross code impacts to you. The Horizon Scan is going to be reviewed and updated by all Code Administrators. When the latest version is available this will be communicated to you, so you know where to find it.</w:t>
      </w:r>
    </w:p>
    <w:p w14:paraId="545B0391" w14:textId="6C7FE660" w:rsidR="00357FCF" w:rsidRDefault="00357FCF" w:rsidP="00357FCF">
      <w:pPr>
        <w:pStyle w:val="ListParagraph"/>
        <w:numPr>
          <w:ilvl w:val="0"/>
          <w:numId w:val="31"/>
        </w:numPr>
      </w:pPr>
      <w:r>
        <w:t xml:space="preserve">Ofgem provided an update regarding the Code Review. Ofgem reported that an industry wide consultation would be issued in 2019 to seek views on options for reviewing the Codes, </w:t>
      </w:r>
      <w:r w:rsidR="006553A7">
        <w:t xml:space="preserve">their </w:t>
      </w:r>
      <w:r>
        <w:t xml:space="preserve">content and </w:t>
      </w:r>
      <w:r w:rsidR="006553A7">
        <w:t xml:space="preserve">the </w:t>
      </w:r>
      <w:r>
        <w:t>strategic direction of code governance.</w:t>
      </w:r>
    </w:p>
    <w:p w14:paraId="42A4AAC4" w14:textId="280F5003" w:rsidR="00357FCF" w:rsidRDefault="00357FCF" w:rsidP="00357FCF">
      <w:pPr>
        <w:pStyle w:val="ListParagraph"/>
        <w:numPr>
          <w:ilvl w:val="0"/>
          <w:numId w:val="31"/>
        </w:numPr>
      </w:pPr>
      <w:r>
        <w:t xml:space="preserve">Ofgem discussed their views on the purpose of </w:t>
      </w:r>
      <w:proofErr w:type="spellStart"/>
      <w:r>
        <w:t>CACoP</w:t>
      </w:r>
      <w:proofErr w:type="spellEnd"/>
      <w:r>
        <w:t xml:space="preserve"> stating that breaking down the fragmented nature of different arrangements across Codes, creating co-ordination and increas</w:t>
      </w:r>
      <w:r w:rsidR="006553A7">
        <w:t>ing</w:t>
      </w:r>
      <w:r>
        <w:t xml:space="preserve"> cross code working </w:t>
      </w:r>
      <w:r w:rsidR="006553A7">
        <w:t>are</w:t>
      </w:r>
      <w:r>
        <w:t xml:space="preserve"> the desire</w:t>
      </w:r>
      <w:r w:rsidR="006553A7">
        <w:t>s</w:t>
      </w:r>
      <w:r>
        <w:t xml:space="preserve"> for </w:t>
      </w:r>
      <w:proofErr w:type="spellStart"/>
      <w:r>
        <w:t>CACoP</w:t>
      </w:r>
      <w:proofErr w:type="spellEnd"/>
      <w:r>
        <w:t xml:space="preserve"> in the current framework. </w:t>
      </w:r>
    </w:p>
    <w:p w14:paraId="4237F9EB" w14:textId="77777777" w:rsidR="00357FCF" w:rsidRDefault="00357FCF" w:rsidP="00357FCF">
      <w:pPr>
        <w:pStyle w:val="ListParagraph"/>
        <w:numPr>
          <w:ilvl w:val="0"/>
          <w:numId w:val="31"/>
        </w:numPr>
      </w:pPr>
      <w:proofErr w:type="spellStart"/>
      <w:r>
        <w:t>CACoP</w:t>
      </w:r>
      <w:proofErr w:type="spellEnd"/>
      <w:r>
        <w:t xml:space="preserve"> approved the 2019 Forward Plan including</w:t>
      </w:r>
    </w:p>
    <w:p w14:paraId="787B889B" w14:textId="1C96B17C" w:rsidR="00357FCF" w:rsidRDefault="00357FCF" w:rsidP="00357FCF">
      <w:pPr>
        <w:pStyle w:val="ListParagraph"/>
        <w:numPr>
          <w:ilvl w:val="1"/>
          <w:numId w:val="31"/>
        </w:numPr>
      </w:pPr>
      <w:r>
        <w:t>Increased engagement with the industry</w:t>
      </w:r>
      <w:r w:rsidR="006553A7">
        <w:t>, with</w:t>
      </w:r>
      <w:r>
        <w:t xml:space="preserve"> quarterly newsletters and a face to face event – watch this space for more information!</w:t>
      </w:r>
    </w:p>
    <w:p w14:paraId="36349327" w14:textId="5C54458A" w:rsidR="00357FCF" w:rsidRDefault="00357FCF" w:rsidP="00357FCF">
      <w:pPr>
        <w:pStyle w:val="ListParagraph"/>
        <w:numPr>
          <w:ilvl w:val="1"/>
          <w:numId w:val="31"/>
        </w:numPr>
      </w:pPr>
      <w:r>
        <w:t xml:space="preserve">Each code to self-audit against the 14 </w:t>
      </w:r>
      <w:proofErr w:type="spellStart"/>
      <w:r>
        <w:t>CACoP</w:t>
      </w:r>
      <w:proofErr w:type="spellEnd"/>
      <w:r>
        <w:t xml:space="preserve"> principles to share best practices and align the modification process across Codes</w:t>
      </w:r>
      <w:r w:rsidR="006553A7">
        <w:t>,</w:t>
      </w:r>
      <w:r>
        <w:t xml:space="preserve"> making life easy and consistent for you!</w:t>
      </w:r>
    </w:p>
    <w:p w14:paraId="19FE07ED" w14:textId="77777777" w:rsidR="00357FCF" w:rsidRDefault="00357FCF" w:rsidP="00357FCF">
      <w:pPr>
        <w:pStyle w:val="ListParagraph"/>
        <w:numPr>
          <w:ilvl w:val="1"/>
          <w:numId w:val="31"/>
        </w:numPr>
      </w:pPr>
      <w:r>
        <w:t xml:space="preserve">Reviewing the annual survey results when they are out later in the year. This will allow us to respond to direct feedback from you. </w:t>
      </w:r>
    </w:p>
    <w:p w14:paraId="1A3EB910" w14:textId="064F8796" w:rsidR="003C08F7" w:rsidRPr="003423F3" w:rsidRDefault="00357FCF" w:rsidP="00357FCF">
      <w:r>
        <w:t xml:space="preserve">For further information on </w:t>
      </w:r>
      <w:proofErr w:type="spellStart"/>
      <w:r>
        <w:t>CACoP</w:t>
      </w:r>
      <w:proofErr w:type="spellEnd"/>
      <w:r>
        <w:t xml:space="preserve"> please see </w:t>
      </w:r>
      <w:hyperlink r:id="rId9" w:history="1">
        <w:r w:rsidRPr="008B4833">
          <w:rPr>
            <w:rStyle w:val="Hyperlink"/>
          </w:rPr>
          <w:t>https://www.nationalgrideso.com/codes/code-administration-code-practice</w:t>
        </w:r>
      </w:hyperlink>
      <w:r>
        <w:t xml:space="preserve"> or call Rob Marshall (</w:t>
      </w:r>
      <w:proofErr w:type="spellStart"/>
      <w:r>
        <w:t>CACoP</w:t>
      </w:r>
      <w:proofErr w:type="spellEnd"/>
      <w:r>
        <w:t xml:space="preserve"> chair for 2019) on 07824 518 958</w:t>
      </w:r>
    </w:p>
    <w:sectPr w:rsidR="003C08F7" w:rsidRPr="003423F3" w:rsidSect="00633F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301F" w14:textId="77777777" w:rsidR="00D7786C" w:rsidRDefault="00D7786C" w:rsidP="004F458B">
      <w:pPr>
        <w:spacing w:after="0" w:line="240" w:lineRule="auto"/>
      </w:pPr>
      <w:r>
        <w:separator/>
      </w:r>
    </w:p>
  </w:endnote>
  <w:endnote w:type="continuationSeparator" w:id="0">
    <w:p w14:paraId="6BE6E986" w14:textId="77777777" w:rsidR="00D7786C" w:rsidRDefault="00D7786C"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8CFE" w14:textId="77777777" w:rsidR="00357FCF" w:rsidRDefault="00357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5AB8A80E" w14:textId="77777777" w:rsidTr="00800AF2">
      <w:trPr>
        <w:trHeight w:val="300"/>
      </w:trPr>
      <w:tc>
        <w:tcPr>
          <w:tcW w:w="2995" w:type="dxa"/>
        </w:tcPr>
        <w:p w14:paraId="076DAE64" w14:textId="77777777" w:rsidR="00800AF2" w:rsidRPr="00633F6B" w:rsidRDefault="00800AF2" w:rsidP="000D492D">
          <w:pPr>
            <w:pStyle w:val="Footer"/>
            <w:rPr>
              <w:rFonts w:cs="Arial"/>
              <w:color w:val="595959" w:themeColor="text1" w:themeTint="A6"/>
              <w:sz w:val="16"/>
              <w:szCs w:val="16"/>
            </w:rPr>
          </w:pPr>
        </w:p>
      </w:tc>
      <w:tc>
        <w:tcPr>
          <w:tcW w:w="3034" w:type="dxa"/>
          <w:vMerge w:val="restart"/>
        </w:tcPr>
        <w:p w14:paraId="15C7F8EA" w14:textId="77777777" w:rsidR="00800AF2" w:rsidRPr="00633F6B" w:rsidRDefault="00800AF2" w:rsidP="00633F6B">
          <w:pPr>
            <w:pStyle w:val="Footer"/>
            <w:jc w:val="center"/>
            <w:rPr>
              <w:rFonts w:cs="Arial"/>
              <w:color w:val="595959" w:themeColor="text1" w:themeTint="A6"/>
              <w:sz w:val="16"/>
              <w:szCs w:val="16"/>
            </w:rPr>
          </w:pPr>
          <w:r>
            <w:rPr>
              <w:noProof/>
              <w:lang w:eastAsia="en-GB"/>
            </w:rPr>
            <w:drawing>
              <wp:inline distT="0" distB="0" distL="0" distR="0" wp14:anchorId="219A3299" wp14:editId="3393E4AF">
                <wp:extent cx="1170940" cy="681355"/>
                <wp:effectExtent l="0" t="0" r="0" b="4445"/>
                <wp:docPr id="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7" name="Picture 0" descr="Administered by Gemserv Logo.png"/>
                        <pic:cNvPicPr/>
                      </pic:nvPicPr>
                      <pic:blipFill>
                        <a:blip r:embed="rId1" r:link="rId2">
                          <a:extLst>
                            <a:ext uri="{28A0092B-C50C-407E-A947-70E740481C1C}">
                              <a14:useLocalDpi xmlns:a14="http://schemas.microsoft.com/office/drawing/2010/main" val="0"/>
                            </a:ext>
                          </a:extLst>
                        </a:blip>
                        <a:srcRect b="-2703"/>
                        <a:stretch>
                          <a:fillRect/>
                        </a:stretch>
                      </pic:blipFill>
                      <pic:spPr bwMode="auto">
                        <a:xfrm>
                          <a:off x="0" y="0"/>
                          <a:ext cx="1170940" cy="681355"/>
                        </a:xfrm>
                        <a:prstGeom prst="rect">
                          <a:avLst/>
                        </a:prstGeom>
                        <a:noFill/>
                        <a:ln>
                          <a:noFill/>
                        </a:ln>
                      </pic:spPr>
                    </pic:pic>
                  </a:graphicData>
                </a:graphic>
              </wp:inline>
            </w:drawing>
          </w:r>
        </w:p>
      </w:tc>
      <w:tc>
        <w:tcPr>
          <w:tcW w:w="2997" w:type="dxa"/>
        </w:tcPr>
        <w:p w14:paraId="33A4F786"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49850F50" w14:textId="77777777" w:rsidTr="00800AF2">
      <w:trPr>
        <w:trHeight w:val="540"/>
      </w:trPr>
      <w:tc>
        <w:tcPr>
          <w:tcW w:w="2995" w:type="dxa"/>
        </w:tcPr>
        <w:p w14:paraId="79141782" w14:textId="40B8901F" w:rsidR="00800AF2" w:rsidRDefault="00357FCF" w:rsidP="000D492D">
          <w:pPr>
            <w:pStyle w:val="Footer"/>
            <w:rPr>
              <w:rFonts w:cs="Arial"/>
              <w:color w:val="595959" w:themeColor="text1" w:themeTint="A6"/>
              <w:sz w:val="16"/>
              <w:szCs w:val="16"/>
            </w:rPr>
          </w:pPr>
          <w:proofErr w:type="spellStart"/>
          <w:r>
            <w:rPr>
              <w:rFonts w:cs="Arial"/>
              <w:color w:val="595959" w:themeColor="text1" w:themeTint="A6"/>
              <w:sz w:val="16"/>
              <w:szCs w:val="16"/>
            </w:rPr>
            <w:t>CACoP</w:t>
          </w:r>
          <w:proofErr w:type="spellEnd"/>
          <w:r w:rsidR="00800AF2">
            <w:rPr>
              <w:rFonts w:cs="Arial"/>
              <w:color w:val="595959" w:themeColor="text1" w:themeTint="A6"/>
              <w:sz w:val="16"/>
              <w:szCs w:val="16"/>
            </w:rPr>
            <w:t xml:space="preserve"> Meeting </w:t>
          </w:r>
          <w:r w:rsidR="007B7546">
            <w:rPr>
              <w:rFonts w:cs="Arial"/>
              <w:color w:val="595959" w:themeColor="text1" w:themeTint="A6"/>
              <w:sz w:val="16"/>
              <w:szCs w:val="16"/>
            </w:rPr>
            <w:t>Ma</w:t>
          </w:r>
          <w:r>
            <w:rPr>
              <w:rFonts w:cs="Arial"/>
              <w:color w:val="595959" w:themeColor="text1" w:themeTint="A6"/>
              <w:sz w:val="16"/>
              <w:szCs w:val="16"/>
            </w:rPr>
            <w:t>rch</w:t>
          </w:r>
          <w:r w:rsidR="007B7546">
            <w:rPr>
              <w:rFonts w:cs="Arial"/>
              <w:color w:val="595959" w:themeColor="text1" w:themeTint="A6"/>
              <w:sz w:val="16"/>
              <w:szCs w:val="16"/>
            </w:rPr>
            <w:t xml:space="preserve"> 2019</w:t>
          </w:r>
          <w:r w:rsidR="00800AF2">
            <w:rPr>
              <w:rFonts w:cs="Arial"/>
              <w:color w:val="595959" w:themeColor="text1" w:themeTint="A6"/>
              <w:sz w:val="16"/>
              <w:szCs w:val="16"/>
            </w:rPr>
            <w:t xml:space="preserve"> Summary</w:t>
          </w:r>
        </w:p>
      </w:tc>
      <w:tc>
        <w:tcPr>
          <w:tcW w:w="3034" w:type="dxa"/>
          <w:vMerge/>
        </w:tcPr>
        <w:p w14:paraId="12D6C679" w14:textId="77777777" w:rsidR="00800AF2" w:rsidRDefault="00800AF2" w:rsidP="00633F6B">
          <w:pPr>
            <w:pStyle w:val="Footer"/>
            <w:jc w:val="center"/>
            <w:rPr>
              <w:noProof/>
              <w:lang w:eastAsia="en-GB"/>
            </w:rPr>
          </w:pPr>
        </w:p>
      </w:tc>
      <w:tc>
        <w:tcPr>
          <w:tcW w:w="2997" w:type="dxa"/>
        </w:tcPr>
        <w:p w14:paraId="5488C754"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1E53C446" w14:textId="77777777" w:rsidR="00800AF2" w:rsidRDefault="00800AF2" w:rsidP="00800AF2">
          <w:pPr>
            <w:pStyle w:val="Footer"/>
            <w:jc w:val="right"/>
            <w:rPr>
              <w:rFonts w:cs="Arial"/>
              <w:color w:val="595959" w:themeColor="text1" w:themeTint="A6"/>
              <w:sz w:val="16"/>
              <w:szCs w:val="16"/>
            </w:rPr>
          </w:pPr>
        </w:p>
        <w:p w14:paraId="0E9D7458"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10A94483" w14:textId="77777777" w:rsidR="00DB0807" w:rsidRPr="00633F6B" w:rsidRDefault="00DB0807"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5DE3" w14:textId="77777777" w:rsidR="00357FCF" w:rsidRDefault="0035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1902" w14:textId="77777777" w:rsidR="00D7786C" w:rsidRDefault="00D7786C" w:rsidP="004F458B">
      <w:pPr>
        <w:spacing w:after="0" w:line="240" w:lineRule="auto"/>
      </w:pPr>
      <w:r>
        <w:separator/>
      </w:r>
    </w:p>
  </w:footnote>
  <w:footnote w:type="continuationSeparator" w:id="0">
    <w:p w14:paraId="1A5123C2" w14:textId="77777777" w:rsidR="00D7786C" w:rsidRDefault="00D7786C"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D061" w14:textId="77777777" w:rsidR="00357FCF" w:rsidRDefault="0035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2A47" w14:textId="77777777" w:rsidR="003E558E" w:rsidRDefault="003E558E" w:rsidP="003E558E">
    <w:pPr>
      <w:pStyle w:val="Header"/>
      <w:jc w:val="right"/>
    </w:pPr>
    <w:r w:rsidRPr="003E558E">
      <w:rPr>
        <w:noProof/>
        <w:lang w:eastAsia="en-GB"/>
      </w:rPr>
      <w:drawing>
        <wp:inline distT="0" distB="0" distL="0" distR="0" wp14:anchorId="3B269683" wp14:editId="526902B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D8E5" w14:textId="77777777" w:rsidR="00357FCF" w:rsidRDefault="00357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F29"/>
    <w:multiLevelType w:val="multilevel"/>
    <w:tmpl w:val="CCAEB4D6"/>
    <w:numStyleLink w:val="SECPanelPaperHeadings"/>
  </w:abstractNum>
  <w:abstractNum w:abstractNumId="1" w15:restartNumberingAfterBreak="0">
    <w:nsid w:val="092921F3"/>
    <w:multiLevelType w:val="hybridMultilevel"/>
    <w:tmpl w:val="85FC8572"/>
    <w:lvl w:ilvl="0" w:tplc="93FCAE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57A1D"/>
    <w:multiLevelType w:val="hybridMultilevel"/>
    <w:tmpl w:val="DCBC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152CA"/>
    <w:multiLevelType w:val="hybridMultilevel"/>
    <w:tmpl w:val="74C05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77208"/>
    <w:multiLevelType w:val="hybridMultilevel"/>
    <w:tmpl w:val="B4465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E1821"/>
    <w:multiLevelType w:val="multilevel"/>
    <w:tmpl w:val="CCAEB4D6"/>
    <w:numStyleLink w:val="SECPanelPaperHeadings"/>
  </w:abstractNum>
  <w:abstractNum w:abstractNumId="9" w15:restartNumberingAfterBreak="0">
    <w:nsid w:val="213516B7"/>
    <w:multiLevelType w:val="multilevel"/>
    <w:tmpl w:val="CCAEB4D6"/>
    <w:numStyleLink w:val="SECPanelPaperHeadings"/>
  </w:abstractNum>
  <w:abstractNum w:abstractNumId="10" w15:restartNumberingAfterBreak="0">
    <w:nsid w:val="226F31A3"/>
    <w:multiLevelType w:val="multilevel"/>
    <w:tmpl w:val="CCAEB4D6"/>
    <w:numStyleLink w:val="SECPanelPaperHeadings"/>
  </w:abstractNum>
  <w:abstractNum w:abstractNumId="11"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2" w15:restartNumberingAfterBreak="0">
    <w:nsid w:val="2FD10F06"/>
    <w:multiLevelType w:val="multilevel"/>
    <w:tmpl w:val="CCAEB4D6"/>
    <w:numStyleLink w:val="SECPanelPaperHeadings"/>
  </w:abstractNum>
  <w:abstractNum w:abstractNumId="1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25672"/>
    <w:multiLevelType w:val="singleLevel"/>
    <w:tmpl w:val="0ED43EA4"/>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abstractNum>
  <w:abstractNum w:abstractNumId="15"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6" w15:restartNumberingAfterBreak="0">
    <w:nsid w:val="57BD47AC"/>
    <w:multiLevelType w:val="hybridMultilevel"/>
    <w:tmpl w:val="B3FAEB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D816AAE"/>
    <w:multiLevelType w:val="multilevel"/>
    <w:tmpl w:val="A59E4DF2"/>
    <w:lvl w:ilvl="0">
      <w:start w:val="1"/>
      <w:numFmt w:val="decimal"/>
      <w:lvlText w:val="%1."/>
      <w:lvlJc w:val="left"/>
      <w:pPr>
        <w:ind w:left="720" w:hanging="360"/>
      </w:pPr>
      <w:rPr>
        <w:rFonts w:hint="default"/>
        <w:bCs w:val="0"/>
        <w:i w:val="0"/>
        <w:iCs w:val="0"/>
        <w:caps w:val="0"/>
        <w:smallCaps w:val="0"/>
        <w:strike w:val="0"/>
        <w:dstrike w:val="0"/>
        <w:noProof w:val="0"/>
        <w:vanish w:val="0"/>
        <w:kern w:val="0"/>
        <w:position w:val="0"/>
        <w:u w:val="none"/>
        <w:vertAlign w:val="baseline"/>
        <w:em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3079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CA6727"/>
    <w:multiLevelType w:val="hybridMultilevel"/>
    <w:tmpl w:val="35CAF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D2338"/>
    <w:multiLevelType w:val="multilevel"/>
    <w:tmpl w:val="CCAEB4D6"/>
    <w:numStyleLink w:val="SECPanelPaperHeadings"/>
  </w:abstractNum>
  <w:abstractNum w:abstractNumId="21" w15:restartNumberingAfterBreak="0">
    <w:nsid w:val="70111706"/>
    <w:multiLevelType w:val="multilevel"/>
    <w:tmpl w:val="CCAEB4D6"/>
    <w:numStyleLink w:val="SECPanelPaperHeadings"/>
  </w:abstractNum>
  <w:abstractNum w:abstractNumId="22" w15:restartNumberingAfterBreak="0">
    <w:nsid w:val="74430771"/>
    <w:multiLevelType w:val="hybridMultilevel"/>
    <w:tmpl w:val="366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413F1"/>
    <w:multiLevelType w:val="multilevel"/>
    <w:tmpl w:val="C8EED5CE"/>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none"/>
      <w:isLgl/>
      <w:lvlText w:val="1.1"/>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24" w15:restartNumberingAfterBreak="0">
    <w:nsid w:val="7C603B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25C35"/>
    <w:multiLevelType w:val="multilevel"/>
    <w:tmpl w:val="A074256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3"/>
  </w:num>
  <w:num w:numId="3">
    <w:abstractNumId w:val="11"/>
  </w:num>
  <w:num w:numId="4">
    <w:abstractNumId w:val="5"/>
  </w:num>
  <w:num w:numId="5">
    <w:abstractNumId w:val="4"/>
  </w:num>
  <w:num w:numId="6">
    <w:abstractNumId w:val="17"/>
  </w:num>
  <w:num w:numId="7">
    <w:abstractNumId w:val="24"/>
  </w:num>
  <w:num w:numId="8">
    <w:abstractNumId w:val="15"/>
  </w:num>
  <w:num w:numId="9">
    <w:abstractNumId w:val="10"/>
  </w:num>
  <w:num w:numId="10">
    <w:abstractNumId w:val="8"/>
  </w:num>
  <w:num w:numId="11">
    <w:abstractNumId w:val="12"/>
  </w:num>
  <w:num w:numId="12">
    <w:abstractNumId w:val="20"/>
  </w:num>
  <w:num w:numId="13">
    <w:abstractNumId w:val="23"/>
  </w:num>
  <w:num w:numId="14">
    <w:abstractNumId w:val="9"/>
  </w:num>
  <w:num w:numId="15">
    <w:abstractNumId w:val="21"/>
  </w:num>
  <w:num w:numId="16">
    <w:abstractNumId w:val="0"/>
  </w:num>
  <w:num w:numId="17">
    <w:abstractNumId w:val="14"/>
  </w:num>
  <w:num w:numId="18">
    <w:abstractNumId w:val="1"/>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25"/>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none"/>
        <w:lvlText w:val=""/>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4">
    <w:abstractNumId w:val="25"/>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5">
    <w:abstractNumId w:val="25"/>
  </w:num>
  <w:num w:numId="26">
    <w:abstractNumId w:val="22"/>
  </w:num>
  <w:num w:numId="27">
    <w:abstractNumId w:val="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6C"/>
    <w:rsid w:val="00001853"/>
    <w:rsid w:val="00020BA4"/>
    <w:rsid w:val="00067AFA"/>
    <w:rsid w:val="00075828"/>
    <w:rsid w:val="00091612"/>
    <w:rsid w:val="000B30A4"/>
    <w:rsid w:val="000B4FAB"/>
    <w:rsid w:val="000C5748"/>
    <w:rsid w:val="000D0828"/>
    <w:rsid w:val="000D492D"/>
    <w:rsid w:val="000E6A3C"/>
    <w:rsid w:val="000E6DD9"/>
    <w:rsid w:val="000F4376"/>
    <w:rsid w:val="00102237"/>
    <w:rsid w:val="0010448B"/>
    <w:rsid w:val="00152E20"/>
    <w:rsid w:val="0015743D"/>
    <w:rsid w:val="001855DA"/>
    <w:rsid w:val="00192FAC"/>
    <w:rsid w:val="00196A93"/>
    <w:rsid w:val="001C32E8"/>
    <w:rsid w:val="001E4249"/>
    <w:rsid w:val="002357F7"/>
    <w:rsid w:val="0024177C"/>
    <w:rsid w:val="00251BB8"/>
    <w:rsid w:val="00251E29"/>
    <w:rsid w:val="00267F7B"/>
    <w:rsid w:val="00283D8C"/>
    <w:rsid w:val="002A0870"/>
    <w:rsid w:val="002A46ED"/>
    <w:rsid w:val="002E0EC9"/>
    <w:rsid w:val="002F1749"/>
    <w:rsid w:val="002F2338"/>
    <w:rsid w:val="002F39BD"/>
    <w:rsid w:val="00306C4B"/>
    <w:rsid w:val="003103AF"/>
    <w:rsid w:val="00331B41"/>
    <w:rsid w:val="00332631"/>
    <w:rsid w:val="003423F3"/>
    <w:rsid w:val="003425F2"/>
    <w:rsid w:val="00347F6A"/>
    <w:rsid w:val="00357FCF"/>
    <w:rsid w:val="00384B39"/>
    <w:rsid w:val="00391B14"/>
    <w:rsid w:val="003935E6"/>
    <w:rsid w:val="003A556D"/>
    <w:rsid w:val="003C08F7"/>
    <w:rsid w:val="003C1DF0"/>
    <w:rsid w:val="003D4B63"/>
    <w:rsid w:val="003E558E"/>
    <w:rsid w:val="00404C8C"/>
    <w:rsid w:val="004170C6"/>
    <w:rsid w:val="0043667E"/>
    <w:rsid w:val="00441D82"/>
    <w:rsid w:val="00463094"/>
    <w:rsid w:val="00471CC6"/>
    <w:rsid w:val="004B51B8"/>
    <w:rsid w:val="004D00F1"/>
    <w:rsid w:val="004D380A"/>
    <w:rsid w:val="004E1DB7"/>
    <w:rsid w:val="004F458B"/>
    <w:rsid w:val="00530099"/>
    <w:rsid w:val="00552455"/>
    <w:rsid w:val="005613A7"/>
    <w:rsid w:val="00571E51"/>
    <w:rsid w:val="0060781C"/>
    <w:rsid w:val="006240A4"/>
    <w:rsid w:val="00633F6B"/>
    <w:rsid w:val="0064797F"/>
    <w:rsid w:val="006553A7"/>
    <w:rsid w:val="0065625F"/>
    <w:rsid w:val="00661BA9"/>
    <w:rsid w:val="0068082B"/>
    <w:rsid w:val="0069226B"/>
    <w:rsid w:val="006B0D39"/>
    <w:rsid w:val="006B1076"/>
    <w:rsid w:val="006B1B0C"/>
    <w:rsid w:val="006D1654"/>
    <w:rsid w:val="006D3E3A"/>
    <w:rsid w:val="006E5908"/>
    <w:rsid w:val="00712849"/>
    <w:rsid w:val="00744B12"/>
    <w:rsid w:val="00747040"/>
    <w:rsid w:val="00783DBF"/>
    <w:rsid w:val="00793FD4"/>
    <w:rsid w:val="007A4826"/>
    <w:rsid w:val="007A5CA3"/>
    <w:rsid w:val="007B7546"/>
    <w:rsid w:val="007E58E4"/>
    <w:rsid w:val="007E6ECB"/>
    <w:rsid w:val="00800AF2"/>
    <w:rsid w:val="00855057"/>
    <w:rsid w:val="0086220C"/>
    <w:rsid w:val="00862303"/>
    <w:rsid w:val="008738E4"/>
    <w:rsid w:val="00881CA8"/>
    <w:rsid w:val="0089731C"/>
    <w:rsid w:val="008A01C2"/>
    <w:rsid w:val="008C0612"/>
    <w:rsid w:val="00962B86"/>
    <w:rsid w:val="00964CD2"/>
    <w:rsid w:val="00971D14"/>
    <w:rsid w:val="00991C2D"/>
    <w:rsid w:val="009931E7"/>
    <w:rsid w:val="009A7772"/>
    <w:rsid w:val="009E14DA"/>
    <w:rsid w:val="00A07DC7"/>
    <w:rsid w:val="00A16AF3"/>
    <w:rsid w:val="00A54644"/>
    <w:rsid w:val="00A72F6D"/>
    <w:rsid w:val="00A75FD0"/>
    <w:rsid w:val="00A81107"/>
    <w:rsid w:val="00AC1347"/>
    <w:rsid w:val="00AF7F93"/>
    <w:rsid w:val="00B02B31"/>
    <w:rsid w:val="00B13A0A"/>
    <w:rsid w:val="00B242DE"/>
    <w:rsid w:val="00B80B19"/>
    <w:rsid w:val="00B943CC"/>
    <w:rsid w:val="00BA0BEE"/>
    <w:rsid w:val="00BC2A21"/>
    <w:rsid w:val="00BD1C03"/>
    <w:rsid w:val="00BD2ADD"/>
    <w:rsid w:val="00BD70A6"/>
    <w:rsid w:val="00BD742D"/>
    <w:rsid w:val="00BD7F0E"/>
    <w:rsid w:val="00C420BA"/>
    <w:rsid w:val="00C43704"/>
    <w:rsid w:val="00CA1D8C"/>
    <w:rsid w:val="00CE018A"/>
    <w:rsid w:val="00D15D55"/>
    <w:rsid w:val="00D31291"/>
    <w:rsid w:val="00D356AD"/>
    <w:rsid w:val="00D63701"/>
    <w:rsid w:val="00D70ECB"/>
    <w:rsid w:val="00D7786C"/>
    <w:rsid w:val="00D9647C"/>
    <w:rsid w:val="00DA1B1A"/>
    <w:rsid w:val="00DB0807"/>
    <w:rsid w:val="00E1288E"/>
    <w:rsid w:val="00E1536A"/>
    <w:rsid w:val="00E3126E"/>
    <w:rsid w:val="00E35AA8"/>
    <w:rsid w:val="00E42FFB"/>
    <w:rsid w:val="00E4508B"/>
    <w:rsid w:val="00E454BA"/>
    <w:rsid w:val="00E5727E"/>
    <w:rsid w:val="00E84A70"/>
    <w:rsid w:val="00EA6D48"/>
    <w:rsid w:val="00EC7DAB"/>
    <w:rsid w:val="00EE33BF"/>
    <w:rsid w:val="00F0008C"/>
    <w:rsid w:val="00F47D15"/>
    <w:rsid w:val="00F57FE2"/>
    <w:rsid w:val="00F635A3"/>
    <w:rsid w:val="00F76EC5"/>
    <w:rsid w:val="00FC5CC6"/>
    <w:rsid w:val="00FD5A59"/>
    <w:rsid w:val="00FE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1C189"/>
  <w15:docId w15:val="{217AAE35-4B78-4C12-B26E-50AE576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CE018A"/>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800AF2"/>
    <w:pPr>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4"/>
      </w:numPr>
      <w:ind w:left="777" w:hanging="357"/>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8"/>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19"/>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CF"/>
    <w:rPr>
      <w:color w:val="0000FF" w:themeColor="hyperlink"/>
      <w:u w:val="single"/>
    </w:rPr>
  </w:style>
  <w:style w:type="character" w:styleId="UnresolvedMention">
    <w:name w:val="Unresolved Mention"/>
    <w:basedOn w:val="DefaultParagraphFont"/>
    <w:uiPriority w:val="99"/>
    <w:semiHidden/>
    <w:unhideWhenUsed/>
    <w:rsid w:val="0065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download/538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ionalgrideso.com/codes/code-administration-code-practi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01%20-%20Modifications\Templates\4%20-%20Other%20Items\Working%20Group%20Meeting%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7054-46AF-401D-A512-E3FF33B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Meeting Summary Template</Template>
  <TotalTime>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SECMP0056 Working Group Meeting May 2019 summary</vt:lpstr>
    </vt:vector>
  </TitlesOfParts>
  <Company>Gemserv</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CACoP Meeting 19 March 2019</dc:title>
  <dc:creator>Ali Beard</dc:creator>
  <cp:lastModifiedBy>Alison Beard</cp:lastModifiedBy>
  <cp:revision>5</cp:revision>
  <dcterms:created xsi:type="dcterms:W3CDTF">2019-05-03T10:44:00Z</dcterms:created>
  <dcterms:modified xsi:type="dcterms:W3CDTF">2019-05-03T11:05:00Z</dcterms:modified>
</cp:coreProperties>
</file>