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C424D" w14:textId="2FEF3831"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073EA587" wp14:editId="0960DEA0">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47BDE9C1"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EA587"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47BDE9C1"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764B3B">
        <w:rPr>
          <w:b/>
          <w:color w:val="007C31"/>
          <w:sz w:val="48"/>
          <w:szCs w:val="48"/>
        </w:rPr>
        <w:t>D</w:t>
      </w:r>
      <w:r w:rsidR="00D807BF">
        <w:rPr>
          <w:b/>
          <w:color w:val="007C31"/>
          <w:sz w:val="48"/>
          <w:szCs w:val="48"/>
        </w:rPr>
        <w:t>P</w:t>
      </w:r>
      <w:r w:rsidR="004451D1">
        <w:rPr>
          <w:b/>
          <w:color w:val="007C31"/>
          <w:sz w:val="48"/>
          <w:szCs w:val="48"/>
        </w:rPr>
        <w:t>071</w:t>
      </w:r>
      <w:r w:rsidR="00D807BF">
        <w:rPr>
          <w:b/>
          <w:color w:val="007C31"/>
          <w:sz w:val="48"/>
          <w:szCs w:val="48"/>
        </w:rPr>
        <w:t xml:space="preserve"> ‘</w:t>
      </w:r>
      <w:r w:rsidR="004451D1">
        <w:rPr>
          <w:b/>
          <w:color w:val="007C31"/>
          <w:sz w:val="48"/>
          <w:szCs w:val="48"/>
        </w:rPr>
        <w:t>Second-Comer Charging</w:t>
      </w:r>
      <w:r w:rsidR="00D807BF">
        <w:rPr>
          <w:b/>
          <w:color w:val="007C31"/>
          <w:sz w:val="48"/>
          <w:szCs w:val="48"/>
        </w:rPr>
        <w:t>’</w:t>
      </w:r>
    </w:p>
    <w:p w14:paraId="06D8326F" w14:textId="034C71F7" w:rsidR="00D807BF" w:rsidRPr="00C30802" w:rsidRDefault="00F80D9D" w:rsidP="00DB0807">
      <w:pPr>
        <w:rPr>
          <w:b/>
          <w:color w:val="007C31"/>
          <w:sz w:val="48"/>
          <w:szCs w:val="48"/>
        </w:rPr>
      </w:pPr>
      <w:r>
        <w:rPr>
          <w:b/>
          <w:color w:val="007C31"/>
          <w:sz w:val="48"/>
          <w:szCs w:val="48"/>
        </w:rPr>
        <w:t>Problem statement</w:t>
      </w:r>
      <w:r w:rsidR="00764B3B">
        <w:rPr>
          <w:b/>
          <w:color w:val="007C31"/>
          <w:sz w:val="48"/>
          <w:szCs w:val="48"/>
        </w:rPr>
        <w:t xml:space="preserve"> – version </w:t>
      </w:r>
      <w:r w:rsidR="004451D1">
        <w:rPr>
          <w:b/>
          <w:color w:val="007C31"/>
          <w:sz w:val="48"/>
          <w:szCs w:val="48"/>
        </w:rPr>
        <w:t>0</w:t>
      </w:r>
      <w:r w:rsidR="00764B3B" w:rsidRPr="004451D1">
        <w:rPr>
          <w:b/>
          <w:color w:val="007C31"/>
          <w:sz w:val="48"/>
          <w:szCs w:val="48"/>
        </w:rPr>
        <w:t>.</w:t>
      </w:r>
      <w:r w:rsidR="004451D1">
        <w:rPr>
          <w:b/>
          <w:color w:val="007C31"/>
          <w:sz w:val="48"/>
          <w:szCs w:val="48"/>
        </w:rPr>
        <w:t>1</w:t>
      </w:r>
    </w:p>
    <w:p w14:paraId="2F13711E" w14:textId="77777777" w:rsidR="00D807BF" w:rsidRDefault="00D807BF" w:rsidP="00D807BF">
      <w:pPr>
        <w:pStyle w:val="Subtitle"/>
      </w:pPr>
      <w:r>
        <w:t>About this document</w:t>
      </w:r>
    </w:p>
    <w:p w14:paraId="17E7467F" w14:textId="77777777" w:rsidR="00764B3B" w:rsidRDefault="00D807BF" w:rsidP="00C30802">
      <w:r>
        <w:t xml:space="preserve">This document </w:t>
      </w:r>
      <w:r w:rsidR="00764B3B">
        <w:t>provides a summary of this Draft Proposal, including the issue or problem identified, the impacts this is having, and the context of this issue within the Smart Energy Code (SEC).</w:t>
      </w:r>
    </w:p>
    <w:p w14:paraId="1E882B43" w14:textId="77777777" w:rsidR="00764B3B" w:rsidRDefault="00764B3B" w:rsidP="00764B3B">
      <w:pPr>
        <w:pStyle w:val="Subtitle"/>
      </w:pPr>
      <w:r>
        <w:t>Proposer</w:t>
      </w:r>
    </w:p>
    <w:p w14:paraId="68F07ADC" w14:textId="1F095E55" w:rsidR="00764B3B" w:rsidRDefault="00764B3B" w:rsidP="00C30802">
      <w:r>
        <w:t>This Draft Proposal has been raised by</w:t>
      </w:r>
      <w:r w:rsidR="004451D1">
        <w:t xml:space="preserve"> Sasha Townsend</w:t>
      </w:r>
      <w:r>
        <w:t xml:space="preserve"> from </w:t>
      </w:r>
      <w:r w:rsidR="0018712C">
        <w:t>the Data Communications Company (</w:t>
      </w:r>
      <w:r w:rsidR="004451D1">
        <w:t>DCC</w:t>
      </w:r>
      <w:r w:rsidR="0018712C">
        <w:t>)</w:t>
      </w:r>
      <w:r>
        <w:t>.</w:t>
      </w:r>
    </w:p>
    <w:p w14:paraId="6CA63BBC" w14:textId="77777777" w:rsidR="006A172D" w:rsidRDefault="00764B3B" w:rsidP="00764B3B">
      <w:pPr>
        <w:pStyle w:val="Heading1"/>
        <w:ind w:left="567" w:hanging="567"/>
      </w:pPr>
      <w:r>
        <w:lastRenderedPageBreak/>
        <w:t>What is the issue or problem identified?</w:t>
      </w:r>
    </w:p>
    <w:p w14:paraId="222EF525" w14:textId="47EAEC28" w:rsidR="00764B3B" w:rsidRDefault="00916302" w:rsidP="00764B3B">
      <w:pPr>
        <w:pStyle w:val="Heading2"/>
      </w:pPr>
      <w:bookmarkStart w:id="0" w:name="_GoBack"/>
      <w:r>
        <w:t>Second-Comer Contributions</w:t>
      </w:r>
      <w:bookmarkEnd w:id="0"/>
    </w:p>
    <w:p w14:paraId="6B675F27" w14:textId="17E0C77A" w:rsidR="00871DCB" w:rsidRPr="00BA0716" w:rsidRDefault="00871DCB" w:rsidP="00871DCB">
      <w:r w:rsidRPr="00BA0716">
        <w:rPr>
          <w:bCs/>
        </w:rPr>
        <w:t>The Explicit Charges Second-Comer Contributions requirement (SEC Section K7.8-</w:t>
      </w:r>
      <w:r w:rsidR="00916302">
        <w:rPr>
          <w:bCs/>
        </w:rPr>
        <w:t>K</w:t>
      </w:r>
      <w:r w:rsidRPr="00BA0716">
        <w:rPr>
          <w:bCs/>
        </w:rPr>
        <w:t xml:space="preserve">7.11) enables a cost allocation mechanism for shared costs with respect to four specific Explicit Charge metrics: 'Low Volume (LV) Gateway Connection'; 'High Volume (HV) Gateway Connection'; 'Elective Service Evaluation'; and 'Parse &amp; Correlate (P&amp;C) support'. The requirement is prescribed using cost and temporal thresholds, to determine the contribution due by a second (or more) DCC User to an earlier DCC User that was offered one of these services, to rebate an element of the shared cost. </w:t>
      </w:r>
    </w:p>
    <w:p w14:paraId="41C64F0D" w14:textId="74DECCFE" w:rsidR="00871DCB" w:rsidRPr="00BA0716" w:rsidRDefault="00916302" w:rsidP="00871DCB">
      <w:r>
        <w:rPr>
          <w:bCs/>
        </w:rPr>
        <w:t xml:space="preserve">The </w:t>
      </w:r>
      <w:r w:rsidR="00871DCB" w:rsidRPr="00BA0716">
        <w:rPr>
          <w:bCs/>
        </w:rPr>
        <w:t>DCC is required to assess Second-Comer Contributions and the rebate of ‘relevant costs’ to an initial contributor, when a subsequent person uses the same services and is made an offer to recover shared costs. The quotes to the Users shall be both with the condition of all parties accepting a shared metric.</w:t>
      </w:r>
    </w:p>
    <w:p w14:paraId="6FD38242" w14:textId="77777777" w:rsidR="00871DCB" w:rsidRPr="00BA0716" w:rsidRDefault="00871DCB" w:rsidP="00871DCB">
      <w:r w:rsidRPr="00BA0716">
        <w:rPr>
          <w:bCs/>
        </w:rPr>
        <w:t> </w:t>
      </w:r>
    </w:p>
    <w:p w14:paraId="19E6AC84" w14:textId="77777777" w:rsidR="00F80D9D" w:rsidRDefault="00F80D9D" w:rsidP="00F80D9D">
      <w:pPr>
        <w:pStyle w:val="Heading2"/>
      </w:pPr>
      <w:r>
        <w:t>How does this issue relate to the SEC?</w:t>
      </w:r>
    </w:p>
    <w:p w14:paraId="4E8E7D04" w14:textId="0D8C8D85" w:rsidR="00C87D8F" w:rsidRDefault="00DA73DC" w:rsidP="00C87D8F">
      <w:pPr>
        <w:rPr>
          <w:rFonts w:ascii="Calibri" w:hAnsi="Calibri"/>
          <w:color w:val="auto"/>
        </w:rPr>
      </w:pPr>
      <w:r>
        <w:t xml:space="preserve">The DCC have stated that this part of the SEC </w:t>
      </w:r>
      <w:r w:rsidRPr="00BA0716">
        <w:rPr>
          <w:bCs/>
        </w:rPr>
        <w:t>(SEC Section K7.8-</w:t>
      </w:r>
      <w:r w:rsidR="00916302">
        <w:rPr>
          <w:bCs/>
        </w:rPr>
        <w:t>K</w:t>
      </w:r>
      <w:r w:rsidRPr="00BA0716">
        <w:rPr>
          <w:bCs/>
        </w:rPr>
        <w:t xml:space="preserve">7.11) </w:t>
      </w:r>
      <w:r>
        <w:t xml:space="preserve">was drafted before the process was put in place and the full logistics understood. </w:t>
      </w:r>
      <w:r w:rsidR="00C87D8F">
        <w:t>In practice the practicalities of providing a HV or LV Gateway Connection are such that there are no common costs and therefore the requirement in the SEC for the DCC to provide quotes for ‘Second-Comer Charging’ are causing delays and inefficiencies in the DCC onboarding service.</w:t>
      </w:r>
    </w:p>
    <w:p w14:paraId="43EDF2F6" w14:textId="77777777" w:rsidR="00F80D9D" w:rsidRDefault="00F80D9D" w:rsidP="00764B3B"/>
    <w:p w14:paraId="4F21782F" w14:textId="77777777" w:rsidR="00826E91" w:rsidRDefault="00764B3B" w:rsidP="00764B3B">
      <w:pPr>
        <w:pStyle w:val="Heading1"/>
        <w:ind w:left="567" w:hanging="567"/>
      </w:pPr>
      <w:r>
        <w:lastRenderedPageBreak/>
        <w:t>What is the impact this is having?</w:t>
      </w:r>
    </w:p>
    <w:p w14:paraId="45D2FB27" w14:textId="0ABB5B64" w:rsidR="00764B3B" w:rsidRDefault="00871DCB" w:rsidP="00764B3B">
      <w:pPr>
        <w:pStyle w:val="Heading2"/>
      </w:pPr>
      <w:r>
        <w:t>Inefficiencies and delays in the onboarding process</w:t>
      </w:r>
    </w:p>
    <w:p w14:paraId="547D60D1" w14:textId="77777777" w:rsidR="00916302" w:rsidRDefault="00916302" w:rsidP="00871DCB">
      <w:pPr>
        <w:rPr>
          <w:bCs/>
        </w:rPr>
      </w:pPr>
      <w:r>
        <w:rPr>
          <w:bCs/>
        </w:rPr>
        <w:t xml:space="preserve">The </w:t>
      </w:r>
      <w:r w:rsidR="00871DCB" w:rsidRPr="00BA0716">
        <w:rPr>
          <w:bCs/>
        </w:rPr>
        <w:t xml:space="preserve">DCC believes this requirement is still relevant and feasible with respect to the Elective Service Evaluation and P&amp;C support metrics; as there are certainly opportunities to align investigative work during an Elective Service </w:t>
      </w:r>
      <w:r w:rsidR="00DA73DC" w:rsidRPr="00BA0716">
        <w:rPr>
          <w:bCs/>
        </w:rPr>
        <w:t>Evaluation or</w:t>
      </w:r>
      <w:r w:rsidR="00871DCB" w:rsidRPr="00BA0716">
        <w:rPr>
          <w:bCs/>
        </w:rPr>
        <w:t xml:space="preserve"> have a shared classroom scenario for P&amp;C support/</w:t>
      </w:r>
      <w:r>
        <w:rPr>
          <w:bCs/>
        </w:rPr>
        <w:t xml:space="preserve"> </w:t>
      </w:r>
      <w:r w:rsidR="00871DCB" w:rsidRPr="00BA0716">
        <w:rPr>
          <w:bCs/>
        </w:rPr>
        <w:t>consultancy. However, the nature of the solution for providing both a LV Gateway Connection or a HV Gateway Connection is such that there are no common costs and thus no scope for cost sharing. Thus, the current onboarding process for a DCC User has inefficient and unnecessary complexity associated with a check related to shared costs for either a LV Gateway Connection or a HV Gateway Connection.</w:t>
      </w:r>
      <w:r>
        <w:rPr>
          <w:bCs/>
        </w:rPr>
        <w:t xml:space="preserve"> </w:t>
      </w:r>
    </w:p>
    <w:p w14:paraId="6F06C320" w14:textId="651C6844" w:rsidR="00871DCB" w:rsidRPr="00BA0716" w:rsidRDefault="00916302" w:rsidP="00871DCB">
      <w:r>
        <w:rPr>
          <w:bCs/>
        </w:rPr>
        <w:t>The magnitude of this impact will be understood further as part of the Development Stage</w:t>
      </w:r>
    </w:p>
    <w:p w14:paraId="0404E884" w14:textId="77777777" w:rsidR="00764B3B" w:rsidRDefault="00764B3B" w:rsidP="00764B3B"/>
    <w:p w14:paraId="4B58B26B" w14:textId="77777777" w:rsidR="003A45DA" w:rsidRDefault="003A45DA" w:rsidP="002A7613"/>
    <w:p w14:paraId="24C1A1FE" w14:textId="77777777" w:rsidR="00764B3B" w:rsidRDefault="00764B3B" w:rsidP="002A7613"/>
    <w:p w14:paraId="33704F10" w14:textId="77777777" w:rsidR="00764B3B" w:rsidRDefault="00764B3B" w:rsidP="002A7613"/>
    <w:p w14:paraId="7695DEB8" w14:textId="77777777" w:rsidR="00764B3B" w:rsidRDefault="00764B3B" w:rsidP="00764B3B">
      <w:pPr>
        <w:pStyle w:val="Heading1"/>
      </w:pPr>
      <w:r>
        <w:lastRenderedPageBreak/>
        <w:t>What are the views of the industry?</w:t>
      </w:r>
    </w:p>
    <w:p w14:paraId="5E245614" w14:textId="77777777" w:rsidR="00734639" w:rsidRDefault="00734639" w:rsidP="00734639">
      <w:pPr>
        <w:pStyle w:val="Heading2"/>
      </w:pPr>
      <w:r>
        <w:t>Views of the DCC</w:t>
      </w:r>
    </w:p>
    <w:p w14:paraId="33071B01" w14:textId="2265F9C6" w:rsidR="00734639" w:rsidRPr="007963D5" w:rsidRDefault="006E4F96" w:rsidP="00734639">
      <w:pPr>
        <w:rPr>
          <w:bCs/>
        </w:rPr>
      </w:pPr>
      <w:r w:rsidRPr="007963D5">
        <w:rPr>
          <w:bCs/>
        </w:rPr>
        <w:t xml:space="preserve">The DCC are keen to improve the efficiency of their processes and </w:t>
      </w:r>
      <w:r w:rsidR="007963D5" w:rsidRPr="007963D5">
        <w:rPr>
          <w:bCs/>
        </w:rPr>
        <w:t>as the Proposer are in full support of finding a solution to the issue</w:t>
      </w:r>
      <w:r w:rsidR="00734639" w:rsidRPr="007963D5">
        <w:rPr>
          <w:bCs/>
        </w:rPr>
        <w:t>.</w:t>
      </w:r>
    </w:p>
    <w:p w14:paraId="7E7DC7CF" w14:textId="77777777" w:rsidR="007963D5" w:rsidRDefault="007963D5" w:rsidP="00764B3B">
      <w:pPr>
        <w:pStyle w:val="Heading2"/>
      </w:pPr>
    </w:p>
    <w:p w14:paraId="5A1F11AC" w14:textId="2CE5947A" w:rsidR="00764B3B" w:rsidRDefault="00734639" w:rsidP="00764B3B">
      <w:pPr>
        <w:pStyle w:val="Heading2"/>
      </w:pPr>
      <w:r>
        <w:t>Views of SEC Parties</w:t>
      </w:r>
    </w:p>
    <w:p w14:paraId="74F5C7ED" w14:textId="77777777" w:rsidR="00734639" w:rsidRDefault="00734639" w:rsidP="00734639">
      <w:r>
        <w:t>The views of Parties will be gathered during the Development Stage.</w:t>
      </w:r>
    </w:p>
    <w:p w14:paraId="1403C423" w14:textId="77777777" w:rsidR="00734639" w:rsidRDefault="00734639" w:rsidP="00734639"/>
    <w:p w14:paraId="6F884210" w14:textId="77777777" w:rsidR="00734639" w:rsidRDefault="00734639" w:rsidP="00734639">
      <w:pPr>
        <w:pStyle w:val="Heading2"/>
      </w:pPr>
      <w:r>
        <w:t>Views of Panel Sub-Committees</w:t>
      </w:r>
    </w:p>
    <w:p w14:paraId="1DCD95D3" w14:textId="77777777" w:rsidR="00734639" w:rsidRDefault="00734639" w:rsidP="00734639">
      <w:r>
        <w:t>The views of Panel Sub-Committees will be gathered during the Development Stage.</w:t>
      </w:r>
    </w:p>
    <w:p w14:paraId="72F98DBA" w14:textId="77777777" w:rsidR="00734639" w:rsidRDefault="00734639" w:rsidP="00734639"/>
    <w:p w14:paraId="6ABEFCBF" w14:textId="77777777" w:rsidR="00734639" w:rsidRPr="00734639" w:rsidRDefault="00734639" w:rsidP="00734639">
      <w:pPr>
        <w:pStyle w:val="Heading2"/>
      </w:pPr>
      <w:r>
        <w:t>Views of the Change Sub-Committee</w:t>
      </w:r>
    </w:p>
    <w:p w14:paraId="3BF3260B" w14:textId="1FAFE77B" w:rsidR="00734639" w:rsidRDefault="00734639" w:rsidP="00734639">
      <w:r>
        <w:t>The</w:t>
      </w:r>
      <w:r w:rsidR="007963D5">
        <w:t xml:space="preserve">re were a few questions from the Change Sub-Committee </w:t>
      </w:r>
      <w:r w:rsidR="00916302">
        <w:t xml:space="preserve">as part of its </w:t>
      </w:r>
      <w:r w:rsidR="007963D5">
        <w:t>initial consideration at their meeting on 8 April 2019</w:t>
      </w:r>
      <w:r>
        <w:t>.</w:t>
      </w:r>
      <w:r w:rsidR="00916302">
        <w:t xml:space="preserve"> They believed the benefits of making any changes needed to be clearer, as they were unsure how big an impact these inefficiencies were having. They also queried if there were further similar inefficiencies that could also be resolved under this Draft Proposal, to avoid making changes in a piecemeal fashion.</w:t>
      </w:r>
      <w:r w:rsidR="007963D5">
        <w:t xml:space="preserve"> These are being investigated by SECAS</w:t>
      </w:r>
      <w:r w:rsidR="00916302">
        <w:t xml:space="preserve"> and the Proposer</w:t>
      </w:r>
      <w:r w:rsidR="007963D5">
        <w:t>.</w:t>
      </w:r>
    </w:p>
    <w:p w14:paraId="7A075B18" w14:textId="77777777" w:rsidR="00764B3B" w:rsidRPr="00D807BF" w:rsidRDefault="00764B3B" w:rsidP="00D807BF"/>
    <w:sectPr w:rsidR="00764B3B" w:rsidRPr="00D807BF" w:rsidSect="00DF2F19">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6C41" w14:textId="77777777" w:rsidR="004451D1" w:rsidRDefault="004451D1" w:rsidP="004F458B">
      <w:pPr>
        <w:spacing w:after="0" w:line="240" w:lineRule="auto"/>
      </w:pPr>
      <w:r>
        <w:separator/>
      </w:r>
    </w:p>
  </w:endnote>
  <w:endnote w:type="continuationSeparator" w:id="0">
    <w:p w14:paraId="1212EB8A" w14:textId="77777777" w:rsidR="004451D1" w:rsidRDefault="004451D1"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72E4B9F6" w14:textId="77777777" w:rsidTr="005D2C21">
      <w:tc>
        <w:tcPr>
          <w:tcW w:w="3040" w:type="dxa"/>
        </w:tcPr>
        <w:p w14:paraId="5DD5FCEA"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tcPr>
        <w:p w14:paraId="75547725" w14:textId="77777777" w:rsidR="000A6FAF" w:rsidRPr="00633F6B" w:rsidRDefault="000A6FAF" w:rsidP="00633F6B">
          <w:pPr>
            <w:pStyle w:val="Footer"/>
            <w:jc w:val="center"/>
            <w:rPr>
              <w:rFonts w:cs="Arial"/>
              <w:color w:val="595959" w:themeColor="text1" w:themeTint="A6"/>
              <w:sz w:val="16"/>
              <w:szCs w:val="16"/>
            </w:rPr>
          </w:pPr>
          <w:r>
            <w:rPr>
              <w:noProof/>
              <w:lang w:eastAsia="en-GB"/>
            </w:rPr>
            <w:drawing>
              <wp:inline distT="0" distB="0" distL="0" distR="0" wp14:anchorId="0C7EEC27" wp14:editId="7C363C8D">
                <wp:extent cx="1170940" cy="681355"/>
                <wp:effectExtent l="0" t="0" r="0" b="4445"/>
                <wp:docPr id="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2999" w:type="dxa"/>
        </w:tcPr>
        <w:p w14:paraId="446BB3FD"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564D34EA" w14:textId="77777777" w:rsidTr="005D2C21">
      <w:trPr>
        <w:trHeight w:val="827"/>
      </w:trPr>
      <w:tc>
        <w:tcPr>
          <w:tcW w:w="3040" w:type="dxa"/>
        </w:tcPr>
        <w:p w14:paraId="4BBF1664" w14:textId="6E09FAEC" w:rsidR="000A6FAF" w:rsidRPr="00762D91" w:rsidRDefault="00D16103" w:rsidP="00E924B0">
          <w:pPr>
            <w:pStyle w:val="Footer"/>
            <w:rPr>
              <w:rFonts w:cs="Arial"/>
              <w:b/>
              <w:color w:val="595959" w:themeColor="text1" w:themeTint="A6"/>
              <w:sz w:val="16"/>
              <w:szCs w:val="16"/>
            </w:rPr>
          </w:pPr>
          <w:r>
            <w:rPr>
              <w:rFonts w:cs="Arial"/>
              <w:color w:val="595959" w:themeColor="text1" w:themeTint="A6"/>
              <w:sz w:val="16"/>
              <w:szCs w:val="16"/>
            </w:rPr>
            <w:t>D</w:t>
          </w:r>
          <w:r w:rsidR="00CB05C3">
            <w:rPr>
              <w:rFonts w:cs="Arial"/>
              <w:color w:val="595959" w:themeColor="text1" w:themeTint="A6"/>
              <w:sz w:val="16"/>
              <w:szCs w:val="16"/>
            </w:rPr>
            <w:t>P</w:t>
          </w:r>
          <w:r w:rsidR="004451D1">
            <w:rPr>
              <w:rFonts w:cs="Arial"/>
              <w:color w:val="595959" w:themeColor="text1" w:themeTint="A6"/>
              <w:sz w:val="16"/>
              <w:szCs w:val="16"/>
            </w:rPr>
            <w:t>071</w:t>
          </w:r>
          <w:r w:rsidR="00CB05C3">
            <w:rPr>
              <w:rFonts w:cs="Arial"/>
              <w:color w:val="595959" w:themeColor="text1" w:themeTint="A6"/>
              <w:sz w:val="16"/>
              <w:szCs w:val="16"/>
            </w:rPr>
            <w:t xml:space="preserve"> </w:t>
          </w:r>
          <w:r w:rsidR="00F80D9D">
            <w:rPr>
              <w:rFonts w:cs="Arial"/>
              <w:color w:val="595959" w:themeColor="text1" w:themeTint="A6"/>
              <w:sz w:val="16"/>
              <w:szCs w:val="16"/>
            </w:rPr>
            <w:t>problem statement</w:t>
          </w:r>
        </w:p>
      </w:tc>
      <w:tc>
        <w:tcPr>
          <w:tcW w:w="2987" w:type="dxa"/>
          <w:vMerge/>
        </w:tcPr>
        <w:p w14:paraId="7CCAD643"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0C8AC3AD"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428176B9" w14:textId="77777777" w:rsidR="000A6FAF" w:rsidRDefault="000A6FAF" w:rsidP="00633F6B">
          <w:pPr>
            <w:pStyle w:val="Footer"/>
            <w:jc w:val="right"/>
            <w:rPr>
              <w:rFonts w:cs="Arial"/>
              <w:color w:val="595959" w:themeColor="text1" w:themeTint="A6"/>
              <w:sz w:val="16"/>
              <w:szCs w:val="16"/>
            </w:rPr>
          </w:pPr>
        </w:p>
        <w:p w14:paraId="7BB47DDB"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6AF3E6AC"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448A" w14:textId="77777777" w:rsidR="004451D1" w:rsidRDefault="004451D1" w:rsidP="004F458B">
      <w:pPr>
        <w:spacing w:after="0" w:line="240" w:lineRule="auto"/>
      </w:pPr>
      <w:r>
        <w:separator/>
      </w:r>
    </w:p>
  </w:footnote>
  <w:footnote w:type="continuationSeparator" w:id="0">
    <w:p w14:paraId="02BCBEC5" w14:textId="77777777" w:rsidR="004451D1" w:rsidRDefault="004451D1"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0929" w14:textId="77777777" w:rsidR="000A6FAF" w:rsidRDefault="000A6FAF" w:rsidP="003E558E">
    <w:pPr>
      <w:pStyle w:val="Header"/>
      <w:jc w:val="right"/>
    </w:pPr>
    <w:r w:rsidRPr="003E558E">
      <w:rPr>
        <w:noProof/>
        <w:lang w:eastAsia="en-GB"/>
      </w:rPr>
      <w:drawing>
        <wp:inline distT="0" distB="0" distL="0" distR="0" wp14:anchorId="28306E52" wp14:editId="65050432">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9"/>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D1"/>
    <w:rsid w:val="000034AD"/>
    <w:rsid w:val="00003C56"/>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1061"/>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723D"/>
    <w:rsid w:val="001677AD"/>
    <w:rsid w:val="001677CB"/>
    <w:rsid w:val="00170C40"/>
    <w:rsid w:val="001721F2"/>
    <w:rsid w:val="0017470B"/>
    <w:rsid w:val="001758EC"/>
    <w:rsid w:val="00177F91"/>
    <w:rsid w:val="00183C95"/>
    <w:rsid w:val="0018432B"/>
    <w:rsid w:val="00184CE1"/>
    <w:rsid w:val="001855DA"/>
    <w:rsid w:val="0018712C"/>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6F1"/>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697B"/>
    <w:rsid w:val="00267F7B"/>
    <w:rsid w:val="00283D8C"/>
    <w:rsid w:val="00284C6E"/>
    <w:rsid w:val="00285942"/>
    <w:rsid w:val="002943B7"/>
    <w:rsid w:val="00296EA0"/>
    <w:rsid w:val="002A0870"/>
    <w:rsid w:val="002A216C"/>
    <w:rsid w:val="002A46ED"/>
    <w:rsid w:val="002A5A10"/>
    <w:rsid w:val="002A5AD9"/>
    <w:rsid w:val="002A7613"/>
    <w:rsid w:val="002B2741"/>
    <w:rsid w:val="002C05FF"/>
    <w:rsid w:val="002C20B7"/>
    <w:rsid w:val="002C2DF7"/>
    <w:rsid w:val="002C4FA1"/>
    <w:rsid w:val="002C5747"/>
    <w:rsid w:val="002C7A3A"/>
    <w:rsid w:val="002D49E8"/>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5DA"/>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51D1"/>
    <w:rsid w:val="004463BD"/>
    <w:rsid w:val="00463094"/>
    <w:rsid w:val="00466069"/>
    <w:rsid w:val="00470F9D"/>
    <w:rsid w:val="00471CC6"/>
    <w:rsid w:val="0048046D"/>
    <w:rsid w:val="0048237F"/>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6FA0"/>
    <w:rsid w:val="00517881"/>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282E"/>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46A3"/>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4F96"/>
    <w:rsid w:val="006E53D7"/>
    <w:rsid w:val="006E5440"/>
    <w:rsid w:val="006E5908"/>
    <w:rsid w:val="006E7A14"/>
    <w:rsid w:val="006F2C39"/>
    <w:rsid w:val="007009B6"/>
    <w:rsid w:val="00712849"/>
    <w:rsid w:val="00717CF8"/>
    <w:rsid w:val="00726D46"/>
    <w:rsid w:val="00730DF8"/>
    <w:rsid w:val="00731D2C"/>
    <w:rsid w:val="00732ACB"/>
    <w:rsid w:val="00734639"/>
    <w:rsid w:val="00735F06"/>
    <w:rsid w:val="00736B8D"/>
    <w:rsid w:val="00744B12"/>
    <w:rsid w:val="00746E0F"/>
    <w:rsid w:val="00747040"/>
    <w:rsid w:val="007516F8"/>
    <w:rsid w:val="00753EFD"/>
    <w:rsid w:val="00757048"/>
    <w:rsid w:val="0075707E"/>
    <w:rsid w:val="007577C0"/>
    <w:rsid w:val="00757B64"/>
    <w:rsid w:val="00762D91"/>
    <w:rsid w:val="00764069"/>
    <w:rsid w:val="00764AC3"/>
    <w:rsid w:val="00764B3B"/>
    <w:rsid w:val="007703DC"/>
    <w:rsid w:val="00771B4F"/>
    <w:rsid w:val="00772D41"/>
    <w:rsid w:val="00775E81"/>
    <w:rsid w:val="00783DBF"/>
    <w:rsid w:val="007870D5"/>
    <w:rsid w:val="00791DE9"/>
    <w:rsid w:val="00793FD4"/>
    <w:rsid w:val="00794846"/>
    <w:rsid w:val="007963D5"/>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26E91"/>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1DCB"/>
    <w:rsid w:val="008726DE"/>
    <w:rsid w:val="008726FF"/>
    <w:rsid w:val="008738E4"/>
    <w:rsid w:val="0087505A"/>
    <w:rsid w:val="00876EF5"/>
    <w:rsid w:val="0087771B"/>
    <w:rsid w:val="0087798A"/>
    <w:rsid w:val="00877D86"/>
    <w:rsid w:val="00881310"/>
    <w:rsid w:val="00881CA8"/>
    <w:rsid w:val="008824FD"/>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C76AE"/>
    <w:rsid w:val="008D23B0"/>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330C"/>
    <w:rsid w:val="00914652"/>
    <w:rsid w:val="0091630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732"/>
    <w:rsid w:val="00AA6314"/>
    <w:rsid w:val="00AB13CD"/>
    <w:rsid w:val="00AB1E9C"/>
    <w:rsid w:val="00AB2443"/>
    <w:rsid w:val="00AB2A1A"/>
    <w:rsid w:val="00AB6A08"/>
    <w:rsid w:val="00AB6A15"/>
    <w:rsid w:val="00AB7AC1"/>
    <w:rsid w:val="00AC1347"/>
    <w:rsid w:val="00AC2114"/>
    <w:rsid w:val="00AC25EC"/>
    <w:rsid w:val="00AC6E0A"/>
    <w:rsid w:val="00AD5EB9"/>
    <w:rsid w:val="00AD6E72"/>
    <w:rsid w:val="00AD7603"/>
    <w:rsid w:val="00AE4806"/>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069E"/>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083F"/>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5604"/>
    <w:rsid w:val="00C70038"/>
    <w:rsid w:val="00C70EF2"/>
    <w:rsid w:val="00C71BDE"/>
    <w:rsid w:val="00C743C1"/>
    <w:rsid w:val="00C74FEC"/>
    <w:rsid w:val="00C82F76"/>
    <w:rsid w:val="00C87D8F"/>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C0F73"/>
    <w:rsid w:val="00CD04B0"/>
    <w:rsid w:val="00CD39C2"/>
    <w:rsid w:val="00CE018A"/>
    <w:rsid w:val="00CE1F4D"/>
    <w:rsid w:val="00CE5D75"/>
    <w:rsid w:val="00CE6882"/>
    <w:rsid w:val="00CF2983"/>
    <w:rsid w:val="00CF6542"/>
    <w:rsid w:val="00D0185C"/>
    <w:rsid w:val="00D0496D"/>
    <w:rsid w:val="00D0579F"/>
    <w:rsid w:val="00D1023C"/>
    <w:rsid w:val="00D11EE1"/>
    <w:rsid w:val="00D14CE9"/>
    <w:rsid w:val="00D15D55"/>
    <w:rsid w:val="00D16103"/>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07BF"/>
    <w:rsid w:val="00D81204"/>
    <w:rsid w:val="00D81408"/>
    <w:rsid w:val="00D8483A"/>
    <w:rsid w:val="00D86275"/>
    <w:rsid w:val="00D9234A"/>
    <w:rsid w:val="00D93C2D"/>
    <w:rsid w:val="00D9647C"/>
    <w:rsid w:val="00DA1B1A"/>
    <w:rsid w:val="00DA1DA7"/>
    <w:rsid w:val="00DA2000"/>
    <w:rsid w:val="00DA4B7A"/>
    <w:rsid w:val="00DA73DC"/>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D6E0F"/>
    <w:rsid w:val="00EE22DF"/>
    <w:rsid w:val="00EE243E"/>
    <w:rsid w:val="00EE33BF"/>
    <w:rsid w:val="00EE71D8"/>
    <w:rsid w:val="00EE7DFD"/>
    <w:rsid w:val="00EF204E"/>
    <w:rsid w:val="00F0008C"/>
    <w:rsid w:val="00F07EB3"/>
    <w:rsid w:val="00F10276"/>
    <w:rsid w:val="00F11651"/>
    <w:rsid w:val="00F1498E"/>
    <w:rsid w:val="00F17CEF"/>
    <w:rsid w:val="00F22A9C"/>
    <w:rsid w:val="00F2373F"/>
    <w:rsid w:val="00F24109"/>
    <w:rsid w:val="00F344E3"/>
    <w:rsid w:val="00F4205E"/>
    <w:rsid w:val="00F47D15"/>
    <w:rsid w:val="00F47DD9"/>
    <w:rsid w:val="00F47E1B"/>
    <w:rsid w:val="00F50735"/>
    <w:rsid w:val="00F52666"/>
    <w:rsid w:val="00F532CF"/>
    <w:rsid w:val="00F54266"/>
    <w:rsid w:val="00F57FE2"/>
    <w:rsid w:val="00F635A3"/>
    <w:rsid w:val="00F6526F"/>
    <w:rsid w:val="00F71155"/>
    <w:rsid w:val="00F72A4C"/>
    <w:rsid w:val="00F749BC"/>
    <w:rsid w:val="00F76EC5"/>
    <w:rsid w:val="00F77BCE"/>
    <w:rsid w:val="00F80D9D"/>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96702"/>
  <w15:docId w15:val="{DDBD1924-BA81-4AE4-BD44-F022134C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764B3B"/>
    <w:pPr>
      <w:pageBreakBefore/>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687160"/>
    <w:rPr>
      <w:color w:val="0000FF" w:themeColor="hyperlink"/>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customStyle="1" w:styleId="Tabletitle">
    <w:name w:val="Table title"/>
    <w:basedOn w:val="Normal"/>
    <w:uiPriority w:val="8"/>
    <w:qFormat/>
    <w:rsid w:val="002A7613"/>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2A7613"/>
    <w:pPr>
      <w:keepNext/>
      <w:spacing w:before="40" w:after="40" w:line="240" w:lineRule="auto"/>
      <w:jc w:val="center"/>
    </w:pPr>
    <w:rPr>
      <w:b/>
      <w:color w:val="007C31"/>
    </w:rPr>
  </w:style>
  <w:style w:type="paragraph" w:customStyle="1" w:styleId="Tablebodytext">
    <w:name w:val="Table body text"/>
    <w:basedOn w:val="Normal"/>
    <w:uiPriority w:val="8"/>
    <w:qFormat/>
    <w:rsid w:val="002A7613"/>
    <w:pPr>
      <w:spacing w:before="40" w:after="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476216470">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01%20-%20Modifications\Templates\1%20-%20Main%20Documents\Problem%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3C23-7E1E-43C2-846A-66EB3B60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 Statement Template</Template>
  <TotalTime>161</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D071 Problem Statement</vt:lpstr>
    </vt:vector>
  </TitlesOfParts>
  <Company>Gemserv</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D071 Problem Statement</dc:title>
  <dc:subject/>
  <dc:creator>Ali Beard</dc:creator>
  <cp:keywords/>
  <dc:description/>
  <cp:lastModifiedBy>Alison Beard</cp:lastModifiedBy>
  <cp:revision>7</cp:revision>
  <cp:lastPrinted>2018-06-08T10:24:00Z</cp:lastPrinted>
  <dcterms:created xsi:type="dcterms:W3CDTF">2019-04-12T09:08:00Z</dcterms:created>
  <dcterms:modified xsi:type="dcterms:W3CDTF">2019-04-12T12:47:00Z</dcterms:modified>
</cp:coreProperties>
</file>