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6D141" w14:textId="31100207" w:rsidR="0078413E" w:rsidRPr="00D7498E" w:rsidRDefault="0078413E" w:rsidP="0078413E">
      <w:pPr>
        <w:pStyle w:val="Heading1"/>
      </w:pPr>
      <w:bookmarkStart w:id="0" w:name="_Toc382233704"/>
      <w:r w:rsidRPr="00D7498E">
        <w:t xml:space="preserve">Proposed </w:t>
      </w:r>
      <w:bookmarkEnd w:id="0"/>
      <w:r w:rsidRPr="00D7498E">
        <w:t xml:space="preserve">Change: </w:t>
      </w:r>
      <w:r>
        <w:t>SECMP00</w:t>
      </w:r>
      <w:r w:rsidR="00283B6A">
        <w:t>25</w:t>
      </w:r>
      <w:r>
        <w:t xml:space="preserve"> - </w:t>
      </w:r>
      <w:r w:rsidR="00283B6A" w:rsidRPr="00283B6A">
        <w:t>Electricity Network Party Access to Load Switching Information</w:t>
      </w:r>
    </w:p>
    <w:p w14:paraId="0CA67805" w14:textId="77777777" w:rsidR="0078413E" w:rsidRPr="0078413E" w:rsidRDefault="0078413E" w:rsidP="0078413E">
      <w:pPr>
        <w:keepNext/>
        <w:spacing w:before="120" w:after="120" w:line="300" w:lineRule="atLeast"/>
        <w:outlineLvl w:val="3"/>
        <w:rPr>
          <w:rFonts w:ascii="Tahoma" w:eastAsia="Times New Roman" w:hAnsi="Tahoma" w:cs="Times New Roman"/>
          <w:b/>
          <w:bCs/>
          <w:color w:val="008576"/>
          <w:sz w:val="24"/>
          <w:szCs w:val="28"/>
          <w:lang w:eastAsia="en-GB"/>
        </w:rPr>
      </w:pPr>
      <w:r w:rsidRPr="0078413E">
        <w:rPr>
          <w:rFonts w:ascii="Tahoma" w:eastAsia="Times New Roman" w:hAnsi="Tahoma" w:cs="Times New Roman"/>
          <w:b/>
          <w:bCs/>
          <w:color w:val="008576"/>
          <w:sz w:val="24"/>
          <w:szCs w:val="28"/>
          <w:lang w:eastAsia="en-GB"/>
        </w:rPr>
        <w:t xml:space="preserve">Context and Business Requirements </w:t>
      </w:r>
    </w:p>
    <w:tbl>
      <w:tblPr>
        <w:tblStyle w:val="TableGrid"/>
        <w:tblW w:w="10632" w:type="dxa"/>
        <w:tblInd w:w="-147" w:type="dxa"/>
        <w:tblLook w:val="04A0" w:firstRow="1" w:lastRow="0" w:firstColumn="1" w:lastColumn="0" w:noHBand="0" w:noVBand="1"/>
      </w:tblPr>
      <w:tblGrid>
        <w:gridCol w:w="10632"/>
      </w:tblGrid>
      <w:tr w:rsidR="0078413E" w:rsidRPr="0078413E" w14:paraId="493F861A" w14:textId="77777777" w:rsidTr="00ED4ADF">
        <w:tc>
          <w:tcPr>
            <w:tcW w:w="10632" w:type="dxa"/>
          </w:tcPr>
          <w:p w14:paraId="6956FD47" w14:textId="77777777" w:rsidR="0078413E" w:rsidRPr="0078413E" w:rsidRDefault="0078413E" w:rsidP="0078413E">
            <w:pPr>
              <w:rPr>
                <w:rFonts w:ascii="Tahoma" w:hAnsi="Tahoma"/>
                <w:i/>
                <w:szCs w:val="24"/>
              </w:rPr>
            </w:pPr>
            <w:r w:rsidRPr="0078413E">
              <w:rPr>
                <w:rFonts w:ascii="Tahoma" w:hAnsi="Tahoma"/>
                <w:i/>
                <w:szCs w:val="24"/>
              </w:rPr>
              <w:t xml:space="preserve">This section provides the context to this Modification Proposal and summarises the key business requirements for it, as currently clarified and refined by the Working Group. </w:t>
            </w:r>
          </w:p>
        </w:tc>
      </w:tr>
    </w:tbl>
    <w:p w14:paraId="4FC57626" w14:textId="77777777" w:rsidR="0078413E" w:rsidRPr="00040078" w:rsidRDefault="0078413E" w:rsidP="00040078">
      <w:pPr>
        <w:spacing w:before="240" w:line="300" w:lineRule="atLeast"/>
        <w:rPr>
          <w:rFonts w:ascii="Arial" w:hAnsi="Arial" w:cs="Arial"/>
          <w:b/>
          <w:sz w:val="20"/>
          <w:szCs w:val="20"/>
        </w:rPr>
      </w:pPr>
      <w:r w:rsidRPr="00040078">
        <w:rPr>
          <w:rFonts w:ascii="Arial" w:hAnsi="Arial" w:cs="Arial"/>
          <w:b/>
          <w:sz w:val="20"/>
          <w:szCs w:val="20"/>
        </w:rPr>
        <w:t>Context:</w:t>
      </w:r>
    </w:p>
    <w:p w14:paraId="05C7371E" w14:textId="178B0FEE" w:rsidR="008427FD" w:rsidRPr="00040078" w:rsidRDefault="008427FD" w:rsidP="00040078">
      <w:pPr>
        <w:pStyle w:val="Default"/>
        <w:spacing w:line="300" w:lineRule="atLeast"/>
        <w:rPr>
          <w:sz w:val="20"/>
          <w:szCs w:val="20"/>
        </w:rPr>
      </w:pPr>
      <w:r w:rsidRPr="00040078">
        <w:rPr>
          <w:sz w:val="20"/>
          <w:szCs w:val="20"/>
        </w:rPr>
        <w:t xml:space="preserve">Electricity </w:t>
      </w:r>
      <w:r w:rsidR="007E38F2">
        <w:rPr>
          <w:sz w:val="20"/>
          <w:szCs w:val="20"/>
        </w:rPr>
        <w:t>Distributors</w:t>
      </w:r>
      <w:r w:rsidRPr="00040078">
        <w:rPr>
          <w:sz w:val="20"/>
          <w:szCs w:val="20"/>
        </w:rPr>
        <w:t xml:space="preserve"> </w:t>
      </w:r>
      <w:r w:rsidR="007E38F2">
        <w:rPr>
          <w:sz w:val="20"/>
          <w:szCs w:val="20"/>
        </w:rPr>
        <w:t>(</w:t>
      </w:r>
      <w:r w:rsidRPr="00040078">
        <w:rPr>
          <w:sz w:val="20"/>
          <w:szCs w:val="20"/>
        </w:rPr>
        <w:t>E</w:t>
      </w:r>
      <w:r w:rsidR="007E38F2">
        <w:rPr>
          <w:sz w:val="20"/>
          <w:szCs w:val="20"/>
        </w:rPr>
        <w:t>D</w:t>
      </w:r>
      <w:r w:rsidRPr="00040078">
        <w:rPr>
          <w:sz w:val="20"/>
          <w:szCs w:val="20"/>
        </w:rPr>
        <w:t>s (known as Distribution Network Operators (DNOs) under other electricity-focused industry codes) currently understand how customer load switching impacts their distribution networks. This is particularly critical in designated Load Managed Areas</w:t>
      </w:r>
      <w:r w:rsidR="00502340">
        <w:rPr>
          <w:rStyle w:val="FootnoteReference"/>
          <w:sz w:val="20"/>
          <w:szCs w:val="20"/>
        </w:rPr>
        <w:footnoteReference w:id="1"/>
      </w:r>
      <w:r w:rsidRPr="00040078">
        <w:rPr>
          <w:sz w:val="20"/>
          <w:szCs w:val="20"/>
        </w:rPr>
        <w:t xml:space="preserve"> and in areas dominated by off peak / Economy 7 load. This understanding has enabled </w:t>
      </w:r>
      <w:r w:rsidR="007E38F2">
        <w:rPr>
          <w:sz w:val="20"/>
          <w:szCs w:val="20"/>
        </w:rPr>
        <w:t>ED</w:t>
      </w:r>
      <w:r w:rsidRPr="00040078">
        <w:rPr>
          <w:sz w:val="20"/>
          <w:szCs w:val="20"/>
        </w:rPr>
        <w:t xml:space="preserve">s to develop their distribution systems in an economic way, investing in network reinforcement or using alternative solutions to manage load on their networks. </w:t>
      </w:r>
    </w:p>
    <w:p w14:paraId="215EB4FB" w14:textId="03E8D54C" w:rsidR="008427FD" w:rsidRPr="00040078" w:rsidRDefault="008427FD" w:rsidP="00E56D49">
      <w:pPr>
        <w:pStyle w:val="Default"/>
        <w:spacing w:before="240" w:after="240" w:line="300" w:lineRule="atLeast"/>
        <w:rPr>
          <w:sz w:val="20"/>
          <w:szCs w:val="20"/>
        </w:rPr>
      </w:pPr>
      <w:r w:rsidRPr="00040078">
        <w:rPr>
          <w:sz w:val="20"/>
          <w:szCs w:val="20"/>
        </w:rPr>
        <w:t xml:space="preserve">New technology changes including: new types of heating systems; charging of electric vehicles; and major increases in customer connected micro generation, have resulted in </w:t>
      </w:r>
      <w:r w:rsidR="007E38F2">
        <w:rPr>
          <w:sz w:val="20"/>
          <w:szCs w:val="20"/>
        </w:rPr>
        <w:t>ED</w:t>
      </w:r>
      <w:r w:rsidRPr="00040078">
        <w:rPr>
          <w:sz w:val="20"/>
          <w:szCs w:val="20"/>
        </w:rPr>
        <w:t xml:space="preserve">s facing new load management challenges on their networks. A further level of uncertainty is brought about by </w:t>
      </w:r>
      <w:r w:rsidR="007E38F2">
        <w:rPr>
          <w:sz w:val="20"/>
          <w:szCs w:val="20"/>
        </w:rPr>
        <w:t>ED</w:t>
      </w:r>
      <w:r w:rsidRPr="00040078">
        <w:rPr>
          <w:sz w:val="20"/>
          <w:szCs w:val="20"/>
        </w:rPr>
        <w:t>s not having oversight of how individual suppliers will develop their customer offerings, e.g. new T</w:t>
      </w:r>
      <w:r w:rsidR="00E56D49">
        <w:rPr>
          <w:sz w:val="20"/>
          <w:szCs w:val="20"/>
        </w:rPr>
        <w:t xml:space="preserve">ime of Use </w:t>
      </w:r>
      <w:r w:rsidRPr="00040078">
        <w:rPr>
          <w:sz w:val="20"/>
          <w:szCs w:val="20"/>
        </w:rPr>
        <w:t xml:space="preserve">tariffs. </w:t>
      </w:r>
    </w:p>
    <w:p w14:paraId="4951C30C" w14:textId="164B893F" w:rsidR="008427FD" w:rsidRPr="00040078" w:rsidRDefault="008427FD" w:rsidP="00E56D49">
      <w:pPr>
        <w:pStyle w:val="Default"/>
        <w:spacing w:after="240" w:line="300" w:lineRule="atLeast"/>
        <w:rPr>
          <w:sz w:val="20"/>
          <w:szCs w:val="20"/>
        </w:rPr>
      </w:pPr>
      <w:r w:rsidRPr="00040078">
        <w:rPr>
          <w:sz w:val="20"/>
          <w:szCs w:val="20"/>
        </w:rPr>
        <w:t>As Smart Metering Systems are installed at locations where load is controlled directly through the metering system itself</w:t>
      </w:r>
      <w:r w:rsidR="005B13F2">
        <w:rPr>
          <w:sz w:val="20"/>
          <w:szCs w:val="20"/>
        </w:rPr>
        <w:t xml:space="preserve"> (specifically through </w:t>
      </w:r>
      <w:r w:rsidR="005B13F2" w:rsidRPr="005B13F2">
        <w:rPr>
          <w:sz w:val="20"/>
          <w:szCs w:val="20"/>
        </w:rPr>
        <w:t>Auxiliary Load Control Switch</w:t>
      </w:r>
      <w:r w:rsidR="005B13F2">
        <w:rPr>
          <w:sz w:val="20"/>
          <w:szCs w:val="20"/>
        </w:rPr>
        <w:t>es or ALCS)</w:t>
      </w:r>
      <w:r w:rsidRPr="00040078">
        <w:rPr>
          <w:sz w:val="20"/>
          <w:szCs w:val="20"/>
        </w:rPr>
        <w:t xml:space="preserve">, suppliers will be able to change load switching regimes without reference to </w:t>
      </w:r>
      <w:r w:rsidR="007E38F2">
        <w:rPr>
          <w:sz w:val="20"/>
          <w:szCs w:val="20"/>
        </w:rPr>
        <w:t>ED</w:t>
      </w:r>
      <w:r w:rsidRPr="00040078">
        <w:rPr>
          <w:sz w:val="20"/>
          <w:szCs w:val="20"/>
        </w:rPr>
        <w:t xml:space="preserve">s. Whilst this may be appropriate in most instances, there are some locations where additional controls are required. </w:t>
      </w:r>
    </w:p>
    <w:p w14:paraId="60B4703C" w14:textId="6ADCF80C" w:rsidR="008427FD" w:rsidRPr="00040078" w:rsidRDefault="008427FD" w:rsidP="00E56D49">
      <w:pPr>
        <w:pStyle w:val="Default"/>
        <w:spacing w:after="240" w:line="300" w:lineRule="atLeast"/>
        <w:rPr>
          <w:sz w:val="20"/>
          <w:szCs w:val="20"/>
        </w:rPr>
      </w:pPr>
      <w:r w:rsidRPr="00040078">
        <w:rPr>
          <w:sz w:val="20"/>
          <w:szCs w:val="20"/>
        </w:rPr>
        <w:t xml:space="preserve">For </w:t>
      </w:r>
      <w:r w:rsidR="007E38F2">
        <w:rPr>
          <w:sz w:val="20"/>
          <w:szCs w:val="20"/>
        </w:rPr>
        <w:t>ED</w:t>
      </w:r>
      <w:r w:rsidRPr="00040078">
        <w:rPr>
          <w:sz w:val="20"/>
          <w:szCs w:val="20"/>
        </w:rPr>
        <w:t xml:space="preserve">s to continue to have visibility of customer load switching and to enable prudent and informed management and development of their networks, they need to be able to obtain information relating to load switching regimes that are managed via Smart Metering Systems. </w:t>
      </w:r>
    </w:p>
    <w:p w14:paraId="31548C8A" w14:textId="34126BFE" w:rsidR="00040078" w:rsidRPr="00040078" w:rsidRDefault="008427FD" w:rsidP="00040078">
      <w:pPr>
        <w:pStyle w:val="Default"/>
        <w:spacing w:line="300" w:lineRule="atLeast"/>
        <w:rPr>
          <w:sz w:val="20"/>
          <w:szCs w:val="20"/>
        </w:rPr>
      </w:pPr>
      <w:r w:rsidRPr="00040078">
        <w:rPr>
          <w:sz w:val="20"/>
          <w:szCs w:val="20"/>
        </w:rPr>
        <w:t xml:space="preserve">Under current arrangements, </w:t>
      </w:r>
      <w:r w:rsidR="007E38F2">
        <w:rPr>
          <w:sz w:val="20"/>
          <w:szCs w:val="20"/>
        </w:rPr>
        <w:t>ED</w:t>
      </w:r>
      <w:r w:rsidRPr="00040078">
        <w:rPr>
          <w:sz w:val="20"/>
          <w:szCs w:val="20"/>
        </w:rPr>
        <w:t xml:space="preserve">s are not advised when changes to smart meter-controlled load switching regimes are made by suppliers. Further, current SEC provisions do not permit </w:t>
      </w:r>
      <w:r w:rsidR="007E38F2">
        <w:rPr>
          <w:sz w:val="20"/>
          <w:szCs w:val="20"/>
        </w:rPr>
        <w:t>ED</w:t>
      </w:r>
      <w:r w:rsidRPr="00040078">
        <w:rPr>
          <w:sz w:val="20"/>
          <w:szCs w:val="20"/>
        </w:rPr>
        <w:t>s access to</w:t>
      </w:r>
      <w:r w:rsidR="00040078" w:rsidRPr="00040078">
        <w:rPr>
          <w:sz w:val="20"/>
          <w:szCs w:val="20"/>
        </w:rPr>
        <w:t>:</w:t>
      </w:r>
    </w:p>
    <w:p w14:paraId="1AC5D78C" w14:textId="77777777" w:rsidR="00040078" w:rsidRPr="00040078" w:rsidRDefault="008427FD" w:rsidP="00040078">
      <w:pPr>
        <w:pStyle w:val="Default"/>
        <w:numPr>
          <w:ilvl w:val="0"/>
          <w:numId w:val="19"/>
        </w:numPr>
        <w:spacing w:after="24" w:line="300" w:lineRule="atLeast"/>
        <w:rPr>
          <w:sz w:val="20"/>
          <w:szCs w:val="20"/>
        </w:rPr>
      </w:pPr>
      <w:r w:rsidRPr="00040078">
        <w:rPr>
          <w:sz w:val="20"/>
          <w:szCs w:val="20"/>
        </w:rPr>
        <w:t xml:space="preserve">SR6.13 “Read Event Or Security Log” (more specifically, ALCS / HCALCS event logs); and </w:t>
      </w:r>
    </w:p>
    <w:p w14:paraId="15FA5285" w14:textId="188D15BF" w:rsidR="008427FD" w:rsidRPr="00040078" w:rsidRDefault="008427FD" w:rsidP="00040078">
      <w:pPr>
        <w:pStyle w:val="Default"/>
        <w:numPr>
          <w:ilvl w:val="0"/>
          <w:numId w:val="19"/>
        </w:numPr>
        <w:spacing w:after="24" w:line="300" w:lineRule="atLeast"/>
        <w:rPr>
          <w:sz w:val="20"/>
          <w:szCs w:val="20"/>
        </w:rPr>
      </w:pPr>
      <w:r w:rsidRPr="00040078">
        <w:rPr>
          <w:sz w:val="20"/>
          <w:szCs w:val="20"/>
        </w:rPr>
        <w:t xml:space="preserve">SR7.7 “Read Auxiliary Load Switch Data”. </w:t>
      </w:r>
    </w:p>
    <w:p w14:paraId="687D4095" w14:textId="41C5B076" w:rsidR="006D122A" w:rsidRDefault="008427FD" w:rsidP="00040078">
      <w:pPr>
        <w:spacing w:line="300" w:lineRule="atLeast"/>
        <w:rPr>
          <w:rFonts w:ascii="Arial" w:hAnsi="Arial" w:cs="Arial"/>
          <w:sz w:val="20"/>
          <w:szCs w:val="20"/>
        </w:rPr>
      </w:pPr>
      <w:r w:rsidRPr="00040078">
        <w:rPr>
          <w:rFonts w:ascii="Arial" w:hAnsi="Arial" w:cs="Arial"/>
          <w:sz w:val="20"/>
          <w:szCs w:val="20"/>
        </w:rPr>
        <w:t xml:space="preserve">Having information relating to the operation of ALCS / HCALCS and their associated switching regimes will enable </w:t>
      </w:r>
      <w:r w:rsidR="007E38F2">
        <w:rPr>
          <w:rFonts w:ascii="Arial" w:hAnsi="Arial" w:cs="Arial"/>
          <w:sz w:val="20"/>
          <w:szCs w:val="20"/>
        </w:rPr>
        <w:t>ED</w:t>
      </w:r>
      <w:r w:rsidRPr="00040078">
        <w:rPr>
          <w:rFonts w:ascii="Arial" w:hAnsi="Arial" w:cs="Arial"/>
          <w:sz w:val="20"/>
          <w:szCs w:val="20"/>
        </w:rPr>
        <w:t xml:space="preserve">s to both maintain the benefits of established network management arrangements and develop new innovative solutions to assist with the planning, operation and management of their distribution networks. </w:t>
      </w:r>
    </w:p>
    <w:p w14:paraId="7930EEEA" w14:textId="0F16B76F" w:rsidR="00B417B7" w:rsidRDefault="007D0527" w:rsidP="00283B6A">
      <w:pPr>
        <w:rPr>
          <w:b/>
        </w:rPr>
      </w:pPr>
      <w:r w:rsidRPr="00915F69">
        <w:rPr>
          <w:b/>
        </w:rPr>
        <w:t>Business Requirements:</w:t>
      </w:r>
    </w:p>
    <w:p w14:paraId="7587E8B3" w14:textId="1DD12F3B" w:rsidR="006E2ED1" w:rsidRPr="00040078" w:rsidRDefault="006E2ED1" w:rsidP="00283B6A">
      <w:pPr>
        <w:rPr>
          <w:u w:val="single"/>
        </w:rPr>
      </w:pPr>
      <w:r w:rsidRPr="00040078">
        <w:rPr>
          <w:u w:val="single"/>
        </w:rPr>
        <w:t xml:space="preserve">Business Requirements relating to </w:t>
      </w:r>
      <w:r w:rsidR="005B13F2">
        <w:rPr>
          <w:u w:val="single"/>
        </w:rPr>
        <w:t>accessing the ALCS Event Log through Service Request 6.13</w:t>
      </w:r>
      <w:r w:rsidR="00353EA3" w:rsidRPr="00040078">
        <w:rPr>
          <w:u w:val="single"/>
        </w:rPr>
        <w:t>:</w:t>
      </w:r>
    </w:p>
    <w:p w14:paraId="62F578DD" w14:textId="0D4D2BEA" w:rsidR="00283B6A" w:rsidRDefault="00376A05" w:rsidP="005B13F2">
      <w:pPr>
        <w:pStyle w:val="Default"/>
        <w:numPr>
          <w:ilvl w:val="0"/>
          <w:numId w:val="16"/>
        </w:numPr>
        <w:spacing w:line="300" w:lineRule="atLeast"/>
        <w:rPr>
          <w:sz w:val="20"/>
          <w:szCs w:val="20"/>
        </w:rPr>
      </w:pPr>
      <w:r>
        <w:rPr>
          <w:sz w:val="20"/>
          <w:szCs w:val="20"/>
        </w:rPr>
        <w:t xml:space="preserve">The </w:t>
      </w:r>
      <w:r w:rsidR="0095763E">
        <w:rPr>
          <w:sz w:val="20"/>
          <w:szCs w:val="20"/>
        </w:rPr>
        <w:t>User R</w:t>
      </w:r>
      <w:r w:rsidR="00283B6A" w:rsidRPr="00283B6A">
        <w:rPr>
          <w:sz w:val="20"/>
          <w:szCs w:val="20"/>
        </w:rPr>
        <w:t>ole of Electricity Dist</w:t>
      </w:r>
      <w:r w:rsidR="00E56D49">
        <w:rPr>
          <w:sz w:val="20"/>
          <w:szCs w:val="20"/>
        </w:rPr>
        <w:t xml:space="preserve">ributor </w:t>
      </w:r>
      <w:r w:rsidR="002F77A2">
        <w:rPr>
          <w:sz w:val="20"/>
          <w:szCs w:val="20"/>
        </w:rPr>
        <w:t xml:space="preserve">(ED) </w:t>
      </w:r>
      <w:r w:rsidR="00E56D49">
        <w:rPr>
          <w:sz w:val="20"/>
          <w:szCs w:val="20"/>
        </w:rPr>
        <w:t xml:space="preserve">is </w:t>
      </w:r>
      <w:r w:rsidR="005B13F2">
        <w:rPr>
          <w:sz w:val="20"/>
          <w:szCs w:val="20"/>
        </w:rPr>
        <w:t xml:space="preserve">to be provided with </w:t>
      </w:r>
      <w:r w:rsidR="00E56D49">
        <w:rPr>
          <w:sz w:val="20"/>
          <w:szCs w:val="20"/>
        </w:rPr>
        <w:t>access</w:t>
      </w:r>
      <w:r w:rsidR="005B13F2">
        <w:rPr>
          <w:sz w:val="20"/>
          <w:szCs w:val="20"/>
        </w:rPr>
        <w:t xml:space="preserve"> to the ALCS Event Log through</w:t>
      </w:r>
      <w:r w:rsidR="00E56D49">
        <w:rPr>
          <w:sz w:val="20"/>
          <w:szCs w:val="20"/>
        </w:rPr>
        <w:t xml:space="preserve"> SR</w:t>
      </w:r>
      <w:r w:rsidR="00283B6A" w:rsidRPr="00283B6A">
        <w:rPr>
          <w:sz w:val="20"/>
          <w:szCs w:val="20"/>
        </w:rPr>
        <w:t>6.13 “Read Event Or Security Log”</w:t>
      </w:r>
      <w:r w:rsidR="005B13F2">
        <w:rPr>
          <w:sz w:val="20"/>
          <w:szCs w:val="20"/>
        </w:rPr>
        <w:t xml:space="preserve"> for ESME built according to the Specifications where this Modification is in force [Note there is no requirement to retrospectively apply this to installed ESME, and so access via SR6.13 will not be possible for such</w:t>
      </w:r>
      <w:r w:rsidR="00192348">
        <w:rPr>
          <w:sz w:val="20"/>
          <w:szCs w:val="20"/>
        </w:rPr>
        <w:t xml:space="preserve"> previously installed</w:t>
      </w:r>
      <w:r w:rsidR="005B13F2">
        <w:rPr>
          <w:sz w:val="20"/>
          <w:szCs w:val="20"/>
        </w:rPr>
        <w:t xml:space="preserve"> ESME]. In turn, this requires that, in the Specifications where this Modification is in force, the</w:t>
      </w:r>
      <w:r w:rsidR="00283B6A" w:rsidRPr="005B13F2">
        <w:rPr>
          <w:sz w:val="20"/>
          <w:szCs w:val="20"/>
        </w:rPr>
        <w:t xml:space="preserve"> GBCS Use Case, ECS35f “Read ALCS Event Log” is</w:t>
      </w:r>
      <w:r w:rsidR="005B13F2">
        <w:rPr>
          <w:sz w:val="20"/>
          <w:szCs w:val="20"/>
        </w:rPr>
        <w:t xml:space="preserve"> replaced</w:t>
      </w:r>
      <w:r w:rsidR="00283B6A" w:rsidRPr="005B13F2">
        <w:rPr>
          <w:sz w:val="20"/>
          <w:szCs w:val="20"/>
        </w:rPr>
        <w:t xml:space="preserve"> with an equivalent Use Case that adds Electricity Distributor access. </w:t>
      </w:r>
    </w:p>
    <w:p w14:paraId="6D13EE2F" w14:textId="77777777" w:rsidR="00192348" w:rsidRPr="005B13F2" w:rsidRDefault="00192348" w:rsidP="00192348">
      <w:pPr>
        <w:pStyle w:val="Default"/>
        <w:spacing w:line="300" w:lineRule="atLeast"/>
        <w:ind w:left="720"/>
        <w:rPr>
          <w:sz w:val="20"/>
          <w:szCs w:val="20"/>
        </w:rPr>
      </w:pPr>
    </w:p>
    <w:p w14:paraId="653EA883" w14:textId="2CA362F3" w:rsidR="00E1584C" w:rsidRPr="00040078" w:rsidRDefault="000E76E2" w:rsidP="00E1584C">
      <w:pPr>
        <w:pStyle w:val="Default"/>
        <w:spacing w:after="240" w:line="300" w:lineRule="atLeast"/>
        <w:rPr>
          <w:sz w:val="20"/>
          <w:szCs w:val="20"/>
          <w:u w:val="single"/>
        </w:rPr>
      </w:pPr>
      <w:r w:rsidRPr="00040078">
        <w:rPr>
          <w:sz w:val="20"/>
          <w:szCs w:val="20"/>
          <w:u w:val="single"/>
        </w:rPr>
        <w:t xml:space="preserve">Business Requirements relating to </w:t>
      </w:r>
      <w:r w:rsidR="00CC7909" w:rsidRPr="00CC7909">
        <w:rPr>
          <w:sz w:val="20"/>
          <w:szCs w:val="20"/>
          <w:u w:val="single"/>
        </w:rPr>
        <w:t xml:space="preserve">Electricity Distributor </w:t>
      </w:r>
      <w:r w:rsidR="00E1584C" w:rsidRPr="00040078">
        <w:rPr>
          <w:sz w:val="20"/>
          <w:szCs w:val="20"/>
          <w:u w:val="single"/>
        </w:rPr>
        <w:t>access to SR7.7 – Read Auxiliary Load Switch Data</w:t>
      </w:r>
    </w:p>
    <w:p w14:paraId="25A28730" w14:textId="22C837C4" w:rsidR="0090655D" w:rsidRDefault="005B13F2" w:rsidP="005B13F2">
      <w:pPr>
        <w:pStyle w:val="Default"/>
        <w:numPr>
          <w:ilvl w:val="0"/>
          <w:numId w:val="16"/>
        </w:numPr>
        <w:spacing w:after="83" w:line="300" w:lineRule="atLeast"/>
        <w:rPr>
          <w:sz w:val="20"/>
          <w:szCs w:val="20"/>
        </w:rPr>
      </w:pPr>
      <w:r>
        <w:rPr>
          <w:sz w:val="20"/>
          <w:szCs w:val="20"/>
        </w:rPr>
        <w:t>T</w:t>
      </w:r>
      <w:r w:rsidR="00283B6A">
        <w:rPr>
          <w:sz w:val="20"/>
          <w:szCs w:val="20"/>
        </w:rPr>
        <w:t xml:space="preserve">he </w:t>
      </w:r>
      <w:r w:rsidR="00376A05">
        <w:rPr>
          <w:sz w:val="20"/>
          <w:szCs w:val="20"/>
        </w:rPr>
        <w:t>User Role</w:t>
      </w:r>
      <w:r w:rsidR="00283B6A">
        <w:rPr>
          <w:sz w:val="20"/>
          <w:szCs w:val="20"/>
        </w:rPr>
        <w:t xml:space="preserve"> of Electricity Distributor</w:t>
      </w:r>
      <w:r w:rsidR="00F85AF9">
        <w:rPr>
          <w:sz w:val="20"/>
          <w:szCs w:val="20"/>
        </w:rPr>
        <w:t xml:space="preserve"> (ED)</w:t>
      </w:r>
      <w:r w:rsidR="00283B6A">
        <w:rPr>
          <w:sz w:val="20"/>
          <w:szCs w:val="20"/>
        </w:rPr>
        <w:t xml:space="preserve"> is</w:t>
      </w:r>
      <w:r>
        <w:rPr>
          <w:sz w:val="20"/>
          <w:szCs w:val="20"/>
        </w:rPr>
        <w:t xml:space="preserve"> to be</w:t>
      </w:r>
      <w:r w:rsidR="00283B6A">
        <w:rPr>
          <w:sz w:val="20"/>
          <w:szCs w:val="20"/>
        </w:rPr>
        <w:t xml:space="preserve"> </w:t>
      </w:r>
      <w:r w:rsidR="0015428B">
        <w:rPr>
          <w:sz w:val="20"/>
          <w:szCs w:val="20"/>
        </w:rPr>
        <w:t>provided</w:t>
      </w:r>
      <w:r w:rsidR="00283B6A">
        <w:rPr>
          <w:sz w:val="20"/>
          <w:szCs w:val="20"/>
        </w:rPr>
        <w:t xml:space="preserve"> access to SR 7.7 “Read Auxiliary Load Switch Data” in order to read ALCS Data. </w:t>
      </w:r>
      <w:r>
        <w:rPr>
          <w:sz w:val="20"/>
          <w:szCs w:val="20"/>
        </w:rPr>
        <w:t>This is a DCC only change, and so will provide access to such data</w:t>
      </w:r>
      <w:r w:rsidR="002B33BA">
        <w:rPr>
          <w:sz w:val="20"/>
          <w:szCs w:val="20"/>
        </w:rPr>
        <w:t xml:space="preserve"> on all ESME, whether</w:t>
      </w:r>
      <w:r w:rsidR="00F44136">
        <w:rPr>
          <w:sz w:val="20"/>
          <w:szCs w:val="20"/>
        </w:rPr>
        <w:t xml:space="preserve"> installed prior to this change or not.</w:t>
      </w:r>
    </w:p>
    <w:p w14:paraId="2FDF8F22" w14:textId="70CD9EBA" w:rsidR="00E1584C" w:rsidRPr="00040078" w:rsidRDefault="000E76E2" w:rsidP="00E1584C">
      <w:pPr>
        <w:pStyle w:val="Default"/>
        <w:spacing w:after="83" w:line="300" w:lineRule="atLeast"/>
        <w:rPr>
          <w:sz w:val="20"/>
          <w:szCs w:val="20"/>
          <w:u w:val="single"/>
        </w:rPr>
      </w:pPr>
      <w:r w:rsidRPr="00040078">
        <w:rPr>
          <w:sz w:val="20"/>
          <w:szCs w:val="20"/>
          <w:u w:val="single"/>
        </w:rPr>
        <w:t xml:space="preserve">Business Requirements relating to creating a new </w:t>
      </w:r>
      <w:r w:rsidR="00E1584C" w:rsidRPr="00040078">
        <w:rPr>
          <w:sz w:val="20"/>
          <w:szCs w:val="20"/>
          <w:u w:val="single"/>
        </w:rPr>
        <w:t>DCC Alert</w:t>
      </w:r>
      <w:r w:rsidR="00CC7909">
        <w:rPr>
          <w:sz w:val="20"/>
          <w:szCs w:val="20"/>
          <w:u w:val="single"/>
        </w:rPr>
        <w:t xml:space="preserve"> for </w:t>
      </w:r>
      <w:r w:rsidR="00CC7909" w:rsidRPr="00CC7909">
        <w:rPr>
          <w:sz w:val="20"/>
          <w:szCs w:val="20"/>
          <w:u w:val="single"/>
        </w:rPr>
        <w:t>Electricity Distributor</w:t>
      </w:r>
      <w:r w:rsidR="00CC7909">
        <w:rPr>
          <w:sz w:val="20"/>
          <w:szCs w:val="20"/>
          <w:u w:val="single"/>
        </w:rPr>
        <w:t>s</w:t>
      </w:r>
    </w:p>
    <w:p w14:paraId="5C007201" w14:textId="77777777" w:rsidR="0029428F" w:rsidRDefault="009C7B89" w:rsidP="00F44136">
      <w:pPr>
        <w:pStyle w:val="Default"/>
        <w:numPr>
          <w:ilvl w:val="0"/>
          <w:numId w:val="16"/>
        </w:numPr>
        <w:spacing w:line="300" w:lineRule="atLeast"/>
        <w:rPr>
          <w:sz w:val="20"/>
          <w:szCs w:val="20"/>
        </w:rPr>
      </w:pPr>
      <w:r>
        <w:rPr>
          <w:sz w:val="20"/>
          <w:szCs w:val="20"/>
        </w:rPr>
        <w:t xml:space="preserve">The DCC would create </w:t>
      </w:r>
      <w:r w:rsidR="00F44136">
        <w:rPr>
          <w:sz w:val="20"/>
          <w:szCs w:val="20"/>
        </w:rPr>
        <w:t>a</w:t>
      </w:r>
      <w:r>
        <w:rPr>
          <w:sz w:val="20"/>
          <w:szCs w:val="20"/>
        </w:rPr>
        <w:t xml:space="preserve"> n</w:t>
      </w:r>
      <w:r w:rsidR="00533667">
        <w:rPr>
          <w:sz w:val="20"/>
          <w:szCs w:val="20"/>
        </w:rPr>
        <w:t xml:space="preserve">ew </w:t>
      </w:r>
      <w:r w:rsidR="00283B6A">
        <w:rPr>
          <w:sz w:val="20"/>
          <w:szCs w:val="20"/>
        </w:rPr>
        <w:t>DCC Alert</w:t>
      </w:r>
      <w:r w:rsidR="00F44136">
        <w:rPr>
          <w:sz w:val="20"/>
          <w:szCs w:val="20"/>
        </w:rPr>
        <w:t xml:space="preserve"> to notify the relevant Electricity Distributor </w:t>
      </w:r>
      <w:r w:rsidR="00F85AF9">
        <w:rPr>
          <w:sz w:val="20"/>
          <w:szCs w:val="20"/>
        </w:rPr>
        <w:t xml:space="preserve">(ED) </w:t>
      </w:r>
      <w:r w:rsidR="00F44136">
        <w:rPr>
          <w:sz w:val="20"/>
          <w:szCs w:val="20"/>
        </w:rPr>
        <w:t>whenever the DCC</w:t>
      </w:r>
      <w:r w:rsidR="0029428F">
        <w:rPr>
          <w:sz w:val="20"/>
          <w:szCs w:val="20"/>
        </w:rPr>
        <w:t>:</w:t>
      </w:r>
    </w:p>
    <w:p w14:paraId="4E0B361A" w14:textId="49173E04" w:rsidR="00E601BE" w:rsidRDefault="00F44136" w:rsidP="000E789E">
      <w:pPr>
        <w:pStyle w:val="Default"/>
        <w:numPr>
          <w:ilvl w:val="1"/>
          <w:numId w:val="16"/>
        </w:numPr>
        <w:spacing w:line="300" w:lineRule="atLeast"/>
        <w:rPr>
          <w:sz w:val="20"/>
          <w:szCs w:val="20"/>
        </w:rPr>
      </w:pPr>
      <w:r>
        <w:rPr>
          <w:sz w:val="20"/>
          <w:szCs w:val="20"/>
        </w:rPr>
        <w:t>receives a successful Response from an ESME to</w:t>
      </w:r>
      <w:r w:rsidR="00E601BE">
        <w:rPr>
          <w:sz w:val="20"/>
          <w:szCs w:val="20"/>
        </w:rPr>
        <w:t xml:space="preserve"> either:</w:t>
      </w:r>
    </w:p>
    <w:p w14:paraId="5760CE3B" w14:textId="3C8BD991" w:rsidR="00E21473" w:rsidRDefault="00F44136" w:rsidP="000E789E">
      <w:pPr>
        <w:pStyle w:val="Default"/>
        <w:numPr>
          <w:ilvl w:val="2"/>
          <w:numId w:val="16"/>
        </w:numPr>
        <w:spacing w:line="300" w:lineRule="atLeast"/>
        <w:rPr>
          <w:sz w:val="20"/>
          <w:szCs w:val="20"/>
        </w:rPr>
      </w:pPr>
      <w:r>
        <w:rPr>
          <w:sz w:val="20"/>
          <w:szCs w:val="20"/>
        </w:rPr>
        <w:t>change the ALCS con</w:t>
      </w:r>
      <w:r w:rsidR="00192348">
        <w:rPr>
          <w:sz w:val="20"/>
          <w:szCs w:val="20"/>
        </w:rPr>
        <w:t xml:space="preserve">figurations, which may include </w:t>
      </w:r>
      <w:r>
        <w:rPr>
          <w:sz w:val="20"/>
          <w:szCs w:val="20"/>
        </w:rPr>
        <w:t>an ALCS Calendar change (so a successful Response to a ‘</w:t>
      </w:r>
      <w:r w:rsidRPr="00F44136">
        <w:rPr>
          <w:sz w:val="20"/>
          <w:szCs w:val="20"/>
        </w:rPr>
        <w:t>ECS46c Set HC ALCS and ALCS configuration in ESME (excluding labels)</w:t>
      </w:r>
      <w:r>
        <w:rPr>
          <w:sz w:val="20"/>
          <w:szCs w:val="20"/>
        </w:rPr>
        <w:t xml:space="preserve">’ </w:t>
      </w:r>
      <w:r w:rsidR="00E601BE">
        <w:rPr>
          <w:sz w:val="20"/>
          <w:szCs w:val="20"/>
        </w:rPr>
        <w:t>Command), or</w:t>
      </w:r>
    </w:p>
    <w:p w14:paraId="5C26659E" w14:textId="14E41813" w:rsidR="00E601BE" w:rsidRDefault="00E601BE" w:rsidP="000E789E">
      <w:pPr>
        <w:pStyle w:val="Default"/>
        <w:numPr>
          <w:ilvl w:val="2"/>
          <w:numId w:val="16"/>
        </w:numPr>
        <w:spacing w:line="300" w:lineRule="atLeast"/>
        <w:rPr>
          <w:sz w:val="20"/>
          <w:szCs w:val="20"/>
        </w:rPr>
      </w:pPr>
      <w:r>
        <w:rPr>
          <w:sz w:val="20"/>
          <w:szCs w:val="20"/>
        </w:rPr>
        <w:t>(Optional) change the ALCS labels (</w:t>
      </w:r>
      <w:r w:rsidRPr="001F13FD">
        <w:rPr>
          <w:sz w:val="20"/>
          <w:szCs w:val="20"/>
        </w:rPr>
        <w:t>so a successful Response</w:t>
      </w:r>
      <w:r>
        <w:rPr>
          <w:sz w:val="20"/>
          <w:szCs w:val="20"/>
        </w:rPr>
        <w:t xml:space="preserve"> to a ‘ECS46a </w:t>
      </w:r>
      <w:r w:rsidRPr="001F13FD">
        <w:rPr>
          <w:sz w:val="20"/>
          <w:szCs w:val="20"/>
        </w:rPr>
        <w:t>Set HC ALCS or ALCS Labels in ESME</w:t>
      </w:r>
      <w:r>
        <w:rPr>
          <w:sz w:val="20"/>
          <w:szCs w:val="20"/>
        </w:rPr>
        <w:t>’ Command).</w:t>
      </w:r>
    </w:p>
    <w:p w14:paraId="0D7C438F" w14:textId="368C719F" w:rsidR="000E789E" w:rsidRPr="008F0F2B" w:rsidRDefault="000E789E" w:rsidP="000E789E">
      <w:pPr>
        <w:pStyle w:val="Default"/>
        <w:numPr>
          <w:ilvl w:val="1"/>
          <w:numId w:val="16"/>
        </w:numPr>
        <w:spacing w:line="300" w:lineRule="atLeast"/>
        <w:rPr>
          <w:sz w:val="20"/>
          <w:szCs w:val="20"/>
        </w:rPr>
      </w:pPr>
      <w:r>
        <w:rPr>
          <w:sz w:val="20"/>
          <w:szCs w:val="20"/>
        </w:rPr>
        <w:t>Receives an Alert from an ESME meaning a future dated change to the Au</w:t>
      </w:r>
      <w:r w:rsidRPr="000E789E">
        <w:rPr>
          <w:sz w:val="20"/>
          <w:szCs w:val="20"/>
        </w:rPr>
        <w:t>xiliary</w:t>
      </w:r>
      <w:r>
        <w:rPr>
          <w:sz w:val="20"/>
          <w:szCs w:val="20"/>
        </w:rPr>
        <w:t xml:space="preserve"> </w:t>
      </w:r>
      <w:r w:rsidRPr="000E789E">
        <w:rPr>
          <w:sz w:val="20"/>
          <w:szCs w:val="20"/>
        </w:rPr>
        <w:t>Load</w:t>
      </w:r>
      <w:r>
        <w:rPr>
          <w:sz w:val="20"/>
          <w:szCs w:val="20"/>
        </w:rPr>
        <w:t xml:space="preserve"> </w:t>
      </w:r>
      <w:r w:rsidRPr="000E789E">
        <w:rPr>
          <w:sz w:val="20"/>
          <w:szCs w:val="20"/>
        </w:rPr>
        <w:t>Control</w:t>
      </w:r>
      <w:r>
        <w:rPr>
          <w:sz w:val="20"/>
          <w:szCs w:val="20"/>
        </w:rPr>
        <w:t xml:space="preserve"> </w:t>
      </w:r>
      <w:r w:rsidRPr="000E789E">
        <w:rPr>
          <w:sz w:val="20"/>
          <w:szCs w:val="20"/>
        </w:rPr>
        <w:t>Switches</w:t>
      </w:r>
      <w:r>
        <w:rPr>
          <w:sz w:val="20"/>
          <w:szCs w:val="20"/>
        </w:rPr>
        <w:t xml:space="preserve"> </w:t>
      </w:r>
      <w:r w:rsidRPr="000E789E">
        <w:rPr>
          <w:sz w:val="20"/>
          <w:szCs w:val="20"/>
        </w:rPr>
        <w:t>Calendar</w:t>
      </w:r>
      <w:r>
        <w:rPr>
          <w:sz w:val="20"/>
          <w:szCs w:val="20"/>
        </w:rPr>
        <w:t xml:space="preserve"> has successfully been made (so an Alert with Alert Code of 0x8F66 (meaning ‘</w:t>
      </w:r>
      <w:r w:rsidRPr="000E789E">
        <w:rPr>
          <w:sz w:val="20"/>
          <w:szCs w:val="20"/>
        </w:rPr>
        <w:t>Future – date HAN Interface Command Successfully Actioned</w:t>
      </w:r>
      <w:r>
        <w:rPr>
          <w:sz w:val="20"/>
          <w:szCs w:val="20"/>
        </w:rPr>
        <w:t xml:space="preserve">’ ) containing the COSEM-ATTRIBUTE-DESCRIPTOR of </w:t>
      </w:r>
      <w:r w:rsidRPr="000E789E">
        <w:rPr>
          <w:sz w:val="20"/>
          <w:szCs w:val="20"/>
        </w:rPr>
        <w:t>0x232800005E2C801A06</w:t>
      </w:r>
      <w:r>
        <w:rPr>
          <w:sz w:val="20"/>
          <w:szCs w:val="20"/>
        </w:rPr>
        <w:t xml:space="preserve"> (meaning Au</w:t>
      </w:r>
      <w:r w:rsidRPr="000E789E">
        <w:rPr>
          <w:sz w:val="20"/>
          <w:szCs w:val="20"/>
        </w:rPr>
        <w:t>xiliaryLoadControlSwitchesCalendar</w:t>
      </w:r>
      <w:r>
        <w:rPr>
          <w:sz w:val="20"/>
          <w:szCs w:val="20"/>
        </w:rPr>
        <w:t>))</w:t>
      </w:r>
    </w:p>
    <w:p w14:paraId="1FC3EBB2" w14:textId="1A847A84" w:rsidR="00F44136" w:rsidRPr="008F0F2B" w:rsidRDefault="00F44136" w:rsidP="00F44136">
      <w:pPr>
        <w:pStyle w:val="Default"/>
        <w:numPr>
          <w:ilvl w:val="0"/>
          <w:numId w:val="16"/>
        </w:numPr>
        <w:spacing w:line="300" w:lineRule="atLeast"/>
        <w:rPr>
          <w:sz w:val="20"/>
          <w:szCs w:val="20"/>
        </w:rPr>
      </w:pPr>
      <w:r w:rsidRPr="008F0F2B">
        <w:rPr>
          <w:sz w:val="20"/>
          <w:szCs w:val="20"/>
        </w:rPr>
        <w:t xml:space="preserve">The new Alert </w:t>
      </w:r>
      <w:r w:rsidR="005655A7">
        <w:rPr>
          <w:sz w:val="20"/>
          <w:szCs w:val="20"/>
        </w:rPr>
        <w:t xml:space="preserve">shall </w:t>
      </w:r>
      <w:r w:rsidR="005655A7" w:rsidRPr="008F0F2B">
        <w:rPr>
          <w:sz w:val="20"/>
          <w:szCs w:val="20"/>
        </w:rPr>
        <w:t>contain</w:t>
      </w:r>
      <w:r w:rsidRPr="008F0F2B">
        <w:rPr>
          <w:sz w:val="20"/>
          <w:szCs w:val="20"/>
        </w:rPr>
        <w:t xml:space="preserve"> </w:t>
      </w:r>
      <w:r w:rsidR="00F41D27">
        <w:rPr>
          <w:sz w:val="20"/>
          <w:szCs w:val="20"/>
        </w:rPr>
        <w:t xml:space="preserve">only </w:t>
      </w:r>
      <w:r w:rsidRPr="008F0F2B">
        <w:rPr>
          <w:sz w:val="20"/>
          <w:szCs w:val="20"/>
        </w:rPr>
        <w:t xml:space="preserve">the </w:t>
      </w:r>
      <w:r w:rsidRPr="008F0F2B">
        <w:rPr>
          <w:sz w:val="20"/>
          <w:szCs w:val="20"/>
          <w:shd w:val="clear" w:color="auto" w:fill="FFFFFF" w:themeFill="background1"/>
        </w:rPr>
        <w:t>Device ID</w:t>
      </w:r>
      <w:r w:rsidRPr="008F0F2B">
        <w:rPr>
          <w:sz w:val="20"/>
          <w:szCs w:val="20"/>
        </w:rPr>
        <w:t xml:space="preserve"> of the </w:t>
      </w:r>
      <w:r w:rsidR="005655A7">
        <w:rPr>
          <w:sz w:val="20"/>
          <w:szCs w:val="20"/>
        </w:rPr>
        <w:t>ESME on</w:t>
      </w:r>
      <w:r w:rsidRPr="008F0F2B">
        <w:rPr>
          <w:sz w:val="20"/>
          <w:szCs w:val="20"/>
        </w:rPr>
        <w:t xml:space="preserve"> which the ALCS configurations had been changed.</w:t>
      </w:r>
    </w:p>
    <w:p w14:paraId="1C046E65" w14:textId="6782935A" w:rsidR="00F44136" w:rsidRDefault="00F85AF9" w:rsidP="00F44136">
      <w:pPr>
        <w:pStyle w:val="Default"/>
        <w:numPr>
          <w:ilvl w:val="0"/>
          <w:numId w:val="16"/>
        </w:numPr>
        <w:spacing w:line="300" w:lineRule="atLeast"/>
        <w:rPr>
          <w:sz w:val="20"/>
          <w:szCs w:val="20"/>
        </w:rPr>
      </w:pPr>
      <w:r>
        <w:rPr>
          <w:sz w:val="20"/>
          <w:szCs w:val="20"/>
        </w:rPr>
        <w:t xml:space="preserve">The new DCC Alert to notify the relevant Electricity Distributor (ED) whenever the DCC receives a successful Response from an ESME to change the ALCS configurations shall be generated equally </w:t>
      </w:r>
      <w:r w:rsidR="000E789E">
        <w:rPr>
          <w:sz w:val="20"/>
          <w:szCs w:val="20"/>
        </w:rPr>
        <w:t>for</w:t>
      </w:r>
      <w:r>
        <w:rPr>
          <w:sz w:val="20"/>
          <w:szCs w:val="20"/>
        </w:rPr>
        <w:t xml:space="preserve"> all ESMEs recorded in the DCC database, including those deployed before this change.</w:t>
      </w:r>
    </w:p>
    <w:p w14:paraId="5723D527" w14:textId="3BA3A82C" w:rsidR="00B43CFE" w:rsidRPr="00040078" w:rsidRDefault="00B43CFE" w:rsidP="00B43CFE">
      <w:pPr>
        <w:pStyle w:val="Default"/>
        <w:spacing w:after="83" w:line="300" w:lineRule="atLeast"/>
        <w:rPr>
          <w:sz w:val="20"/>
          <w:szCs w:val="20"/>
          <w:u w:val="single"/>
        </w:rPr>
      </w:pPr>
      <w:r w:rsidRPr="00040078">
        <w:rPr>
          <w:sz w:val="20"/>
          <w:szCs w:val="20"/>
          <w:u w:val="single"/>
        </w:rPr>
        <w:t xml:space="preserve">Business Requirements relating to </w:t>
      </w:r>
      <w:r w:rsidR="00B14DBF">
        <w:rPr>
          <w:sz w:val="20"/>
          <w:szCs w:val="20"/>
          <w:u w:val="single"/>
        </w:rPr>
        <w:t>User T</w:t>
      </w:r>
      <w:r>
        <w:rPr>
          <w:sz w:val="20"/>
          <w:szCs w:val="20"/>
          <w:u w:val="single"/>
        </w:rPr>
        <w:t>esting</w:t>
      </w:r>
    </w:p>
    <w:p w14:paraId="436460B4" w14:textId="440748CB" w:rsidR="00B43CFE" w:rsidRDefault="00E601BE" w:rsidP="00B43CFE">
      <w:pPr>
        <w:pStyle w:val="Default"/>
        <w:numPr>
          <w:ilvl w:val="0"/>
          <w:numId w:val="16"/>
        </w:numPr>
        <w:spacing w:line="300" w:lineRule="atLeast"/>
        <w:rPr>
          <w:sz w:val="20"/>
          <w:szCs w:val="20"/>
        </w:rPr>
      </w:pPr>
      <w:r>
        <w:rPr>
          <w:sz w:val="20"/>
          <w:szCs w:val="20"/>
        </w:rPr>
        <w:t xml:space="preserve">(Optional) </w:t>
      </w:r>
      <w:r w:rsidR="00B43CFE" w:rsidRPr="00B43CFE">
        <w:rPr>
          <w:sz w:val="20"/>
          <w:szCs w:val="20"/>
        </w:rPr>
        <w:t>DCC should act as the supplier party during</w:t>
      </w:r>
      <w:r w:rsidR="00B43CFE">
        <w:rPr>
          <w:sz w:val="20"/>
          <w:szCs w:val="20"/>
        </w:rPr>
        <w:t xml:space="preserve"> User</w:t>
      </w:r>
      <w:r w:rsidR="00B43CFE" w:rsidRPr="00B43CFE">
        <w:rPr>
          <w:sz w:val="20"/>
          <w:szCs w:val="20"/>
        </w:rPr>
        <w:t xml:space="preserve"> </w:t>
      </w:r>
      <w:r w:rsidR="00B43CFE">
        <w:rPr>
          <w:sz w:val="20"/>
          <w:szCs w:val="20"/>
        </w:rPr>
        <w:t>T</w:t>
      </w:r>
      <w:r w:rsidR="00B43CFE" w:rsidRPr="00B43CFE">
        <w:rPr>
          <w:sz w:val="20"/>
          <w:szCs w:val="20"/>
        </w:rPr>
        <w:t>esting of the new functionality.</w:t>
      </w:r>
      <w:r w:rsidR="00B43CFE">
        <w:rPr>
          <w:sz w:val="20"/>
          <w:szCs w:val="20"/>
        </w:rPr>
        <w:t xml:space="preserve"> Electricity Network Users would undertake T</w:t>
      </w:r>
      <w:r w:rsidR="00B43CFE" w:rsidRPr="00B43CFE">
        <w:rPr>
          <w:sz w:val="20"/>
          <w:szCs w:val="20"/>
        </w:rPr>
        <w:t>esting of the new functionality</w:t>
      </w:r>
      <w:r w:rsidR="00B43CFE">
        <w:rPr>
          <w:sz w:val="20"/>
          <w:szCs w:val="20"/>
        </w:rPr>
        <w:t>.</w:t>
      </w:r>
    </w:p>
    <w:p w14:paraId="0C17DA9B" w14:textId="4A6E4DE1" w:rsidR="00031102" w:rsidRDefault="00031102" w:rsidP="00031102">
      <w:pPr>
        <w:pStyle w:val="Default"/>
        <w:spacing w:line="300" w:lineRule="atLeast"/>
        <w:rPr>
          <w:sz w:val="20"/>
          <w:szCs w:val="20"/>
          <w:u w:val="single"/>
        </w:rPr>
      </w:pPr>
    </w:p>
    <w:p w14:paraId="04AE9B97" w14:textId="25094117" w:rsidR="00E601BE" w:rsidRPr="00E601BE" w:rsidRDefault="00E601BE" w:rsidP="00031102">
      <w:pPr>
        <w:pStyle w:val="Default"/>
        <w:spacing w:line="300" w:lineRule="atLeast"/>
        <w:rPr>
          <w:sz w:val="20"/>
          <w:szCs w:val="20"/>
        </w:rPr>
      </w:pPr>
      <w:r>
        <w:rPr>
          <w:sz w:val="20"/>
          <w:szCs w:val="20"/>
        </w:rPr>
        <w:t>Note that 3(</w:t>
      </w:r>
      <w:r w:rsidR="0059538D">
        <w:rPr>
          <w:sz w:val="20"/>
          <w:szCs w:val="20"/>
        </w:rPr>
        <w:t>a) (ii</w:t>
      </w:r>
      <w:r>
        <w:rPr>
          <w:sz w:val="20"/>
          <w:szCs w:val="20"/>
        </w:rPr>
        <w:t>) and (6) are marked optional and so DCC are to provided split out costings for each of those elements in their Impact Assessment.</w:t>
      </w:r>
      <w:bookmarkStart w:id="1" w:name="_GoBack"/>
      <w:bookmarkEnd w:id="1"/>
    </w:p>
    <w:p w14:paraId="00694AC9" w14:textId="77777777" w:rsidR="00E601BE" w:rsidRDefault="00E601BE" w:rsidP="00031102">
      <w:pPr>
        <w:pStyle w:val="Default"/>
        <w:spacing w:line="300" w:lineRule="atLeast"/>
        <w:rPr>
          <w:sz w:val="20"/>
          <w:szCs w:val="20"/>
        </w:rPr>
      </w:pPr>
    </w:p>
    <w:p w14:paraId="0D36C2CC" w14:textId="77777777" w:rsidR="0000457B" w:rsidRPr="00012AA6" w:rsidRDefault="0000457B" w:rsidP="00012AA6">
      <w:pPr>
        <w:keepNext/>
        <w:spacing w:before="120" w:after="120" w:line="300" w:lineRule="atLeast"/>
        <w:outlineLvl w:val="3"/>
        <w:rPr>
          <w:rFonts w:ascii="Tahoma" w:eastAsia="Times New Roman" w:hAnsi="Tahoma" w:cs="Times New Roman"/>
          <w:b/>
          <w:bCs/>
          <w:color w:val="008576"/>
          <w:sz w:val="24"/>
          <w:szCs w:val="28"/>
          <w:lang w:eastAsia="en-GB"/>
        </w:rPr>
      </w:pPr>
      <w:r w:rsidRPr="00012AA6">
        <w:rPr>
          <w:rFonts w:ascii="Tahoma" w:eastAsia="Times New Roman" w:hAnsi="Tahoma" w:cs="Times New Roman"/>
          <w:b/>
          <w:bCs/>
          <w:color w:val="008576"/>
          <w:sz w:val="24"/>
          <w:szCs w:val="28"/>
          <w:lang w:eastAsia="en-GB"/>
        </w:rPr>
        <w:t>Solution</w:t>
      </w:r>
    </w:p>
    <w:tbl>
      <w:tblPr>
        <w:tblStyle w:val="TableGrid"/>
        <w:tblW w:w="10485" w:type="dxa"/>
        <w:tblLook w:val="04A0" w:firstRow="1" w:lastRow="0" w:firstColumn="1" w:lastColumn="0" w:noHBand="0" w:noVBand="1"/>
      </w:tblPr>
      <w:tblGrid>
        <w:gridCol w:w="10485"/>
      </w:tblGrid>
      <w:tr w:rsidR="0000457B" w:rsidRPr="004C6CAD" w14:paraId="74AD287E" w14:textId="77777777" w:rsidTr="007F73C5">
        <w:tc>
          <w:tcPr>
            <w:tcW w:w="10485" w:type="dxa"/>
          </w:tcPr>
          <w:p w14:paraId="08DBD5FE" w14:textId="77777777" w:rsidR="0000457B" w:rsidRPr="004C6CAD" w:rsidRDefault="0000457B" w:rsidP="007F73C5">
            <w:pPr>
              <w:rPr>
                <w:i/>
              </w:rPr>
            </w:pPr>
            <w:r>
              <w:rPr>
                <w:i/>
              </w:rPr>
              <w:t>This section details</w:t>
            </w:r>
            <w:r w:rsidRPr="004C6CAD">
              <w:rPr>
                <w:i/>
              </w:rPr>
              <w:t xml:space="preserve"> the required changes to SEC and wider documents that are proposed to implement </w:t>
            </w:r>
            <w:r>
              <w:rPr>
                <w:i/>
              </w:rPr>
              <w:t>the</w:t>
            </w:r>
            <w:r w:rsidRPr="004C6CAD">
              <w:rPr>
                <w:i/>
              </w:rPr>
              <w:t xml:space="preserve"> requirement</w:t>
            </w:r>
            <w:r>
              <w:rPr>
                <w:i/>
              </w:rPr>
              <w:t xml:space="preserve"> for this SEC Modification</w:t>
            </w:r>
            <w:r w:rsidRPr="004C6CAD">
              <w:rPr>
                <w:i/>
              </w:rPr>
              <w:t>.</w:t>
            </w:r>
            <w:r>
              <w:rPr>
                <w:i/>
              </w:rPr>
              <w:t xml:space="preserve"> Please note that all numbering, messages codes, alert codes and so on are based on GBCS 2.0 Draft 4.</w:t>
            </w:r>
            <w:r w:rsidRPr="004C6CAD">
              <w:rPr>
                <w:i/>
              </w:rPr>
              <w:t xml:space="preserve"> </w:t>
            </w:r>
          </w:p>
        </w:tc>
      </w:tr>
    </w:tbl>
    <w:p w14:paraId="31F764F5" w14:textId="77777777" w:rsidR="0000457B" w:rsidRDefault="0000457B" w:rsidP="0000457B"/>
    <w:p w14:paraId="7AE8D627" w14:textId="77777777" w:rsidR="0000457B" w:rsidRDefault="0000457B" w:rsidP="0000457B">
      <w:r w:rsidRPr="0062055F">
        <w:rPr>
          <w:b/>
        </w:rPr>
        <w:t>SEC main body change</w:t>
      </w:r>
    </w:p>
    <w:p w14:paraId="516C9D7D" w14:textId="77777777" w:rsidR="0000457B" w:rsidRDefault="0000457B" w:rsidP="0000457B">
      <w:r>
        <w:t>None</w:t>
      </w:r>
    </w:p>
    <w:p w14:paraId="4EE2A00C" w14:textId="77777777" w:rsidR="0000457B" w:rsidRDefault="0000457B" w:rsidP="0000457B"/>
    <w:p w14:paraId="6722CBD1" w14:textId="77777777" w:rsidR="0000457B" w:rsidRDefault="0000457B" w:rsidP="0000457B">
      <w:r w:rsidRPr="0062055F">
        <w:rPr>
          <w:b/>
        </w:rPr>
        <w:t>SMETS changes</w:t>
      </w:r>
    </w:p>
    <w:p w14:paraId="3CF1FA80" w14:textId="77777777" w:rsidR="0000457B" w:rsidRDefault="0000457B" w:rsidP="0000457B">
      <w:r>
        <w:t>None</w:t>
      </w:r>
    </w:p>
    <w:p w14:paraId="2A23D7B8" w14:textId="77777777" w:rsidR="0000457B" w:rsidRDefault="0000457B" w:rsidP="0000457B"/>
    <w:p w14:paraId="3C1771CE" w14:textId="58B2F34A" w:rsidR="0000457B" w:rsidRDefault="0000457B" w:rsidP="0000457B">
      <w:pPr>
        <w:rPr>
          <w:b/>
        </w:rPr>
      </w:pPr>
      <w:r w:rsidRPr="0062055F">
        <w:rPr>
          <w:b/>
        </w:rPr>
        <w:t>GBCS changes</w:t>
      </w:r>
    </w:p>
    <w:p w14:paraId="642C45CE" w14:textId="751C2316" w:rsidR="0000457B" w:rsidRPr="00520EB4" w:rsidRDefault="0000457B" w:rsidP="0000457B">
      <w:r w:rsidRPr="00520EB4">
        <w:rPr>
          <w:u w:val="single"/>
        </w:rPr>
        <w:t>To create the new Use Case</w:t>
      </w:r>
      <w:r w:rsidR="00520EB4" w:rsidRPr="00520EB4">
        <w:rPr>
          <w:u w:val="single"/>
        </w:rPr>
        <w:t xml:space="preserve"> to replace ECS35f</w:t>
      </w:r>
      <w:r w:rsidRPr="00520EB4">
        <w:t>, in Table 20 of GBCS:</w:t>
      </w:r>
    </w:p>
    <w:p w14:paraId="3C2E7AF4" w14:textId="6B26BF0C" w:rsidR="0000457B" w:rsidRPr="00520EB4" w:rsidRDefault="0000457B" w:rsidP="00121DA2">
      <w:pPr>
        <w:pStyle w:val="ListParagraph"/>
        <w:numPr>
          <w:ilvl w:val="0"/>
          <w:numId w:val="27"/>
        </w:numPr>
      </w:pPr>
      <w:r w:rsidRPr="00520EB4">
        <w:lastRenderedPageBreak/>
        <w:t>In the ‘Use Case Reference’ tab, copy the row that contains ‘ECS35f’ in column C (‘Use Case (DLMS/ASN.1)’) to the end of the tab</w:t>
      </w:r>
      <w:r w:rsidR="00520EB4">
        <w:t>.</w:t>
      </w:r>
    </w:p>
    <w:p w14:paraId="181F2058" w14:textId="78BBDC7E" w:rsidR="0000457B" w:rsidRPr="00520EB4" w:rsidRDefault="0000457B" w:rsidP="00121DA2">
      <w:pPr>
        <w:pStyle w:val="ListParagraph"/>
        <w:numPr>
          <w:ilvl w:val="0"/>
          <w:numId w:val="27"/>
        </w:numPr>
      </w:pPr>
      <w:r w:rsidRPr="00520EB4">
        <w:t>In that copied row</w:t>
      </w:r>
      <w:r w:rsidR="00121DA2" w:rsidRPr="00520EB4">
        <w:t xml:space="preserve"> in the ‘Use Case Reference’ tab</w:t>
      </w:r>
      <w:r w:rsidRPr="00520EB4">
        <w:t>:</w:t>
      </w:r>
    </w:p>
    <w:p w14:paraId="42FE859D" w14:textId="164D1E6E" w:rsidR="0000457B" w:rsidRPr="00520EB4" w:rsidRDefault="0000457B" w:rsidP="00121DA2">
      <w:pPr>
        <w:pStyle w:val="ListParagraph"/>
        <w:numPr>
          <w:ilvl w:val="2"/>
          <w:numId w:val="27"/>
        </w:numPr>
      </w:pPr>
      <w:r w:rsidRPr="00520EB4">
        <w:t>In column C (‘Use Case (DLMS/A</w:t>
      </w:r>
      <w:r w:rsidR="00E94C9A">
        <w:t>SN.1)’) replace ‘ECS35f’ with ‘ECS35g</w:t>
      </w:r>
      <w:r w:rsidR="00E94C9A" w:rsidRPr="00520EB4">
        <w:t>’</w:t>
      </w:r>
      <w:r w:rsidRPr="00520EB4">
        <w:t>;</w:t>
      </w:r>
    </w:p>
    <w:p w14:paraId="69B073DD" w14:textId="7039056F" w:rsidR="0000457B" w:rsidRPr="00520EB4" w:rsidRDefault="0000457B" w:rsidP="00E94C9A">
      <w:pPr>
        <w:pStyle w:val="ListParagraph"/>
        <w:numPr>
          <w:ilvl w:val="2"/>
          <w:numId w:val="27"/>
        </w:numPr>
      </w:pPr>
      <w:r w:rsidRPr="00520EB4">
        <w:t>In column D (‘Message Code’)</w:t>
      </w:r>
      <w:r w:rsidR="00121DA2" w:rsidRPr="00520EB4">
        <w:t xml:space="preserve"> replace ‘0x00BA’ with ‘</w:t>
      </w:r>
      <w:r w:rsidR="00E94C9A" w:rsidRPr="00E94C9A">
        <w:t>0x00FD</w:t>
      </w:r>
      <w:r w:rsidR="00121DA2" w:rsidRPr="00520EB4">
        <w:t>’;</w:t>
      </w:r>
    </w:p>
    <w:p w14:paraId="71901D6C" w14:textId="660AAB5C" w:rsidR="00121DA2" w:rsidRPr="00520EB4" w:rsidRDefault="00520EB4" w:rsidP="00520EB4">
      <w:pPr>
        <w:pStyle w:val="ListParagraph"/>
        <w:numPr>
          <w:ilvl w:val="2"/>
          <w:numId w:val="27"/>
        </w:numPr>
      </w:pPr>
      <w:r>
        <w:t>Set column M</w:t>
      </w:r>
      <w:r w:rsidR="00121DA2" w:rsidRPr="00520EB4">
        <w:t xml:space="preserve"> (‘</w:t>
      </w:r>
      <w:r w:rsidRPr="00520EB4">
        <w:t>Access: Network Operator (NC)</w:t>
      </w:r>
      <w:r w:rsidR="00121DA2" w:rsidRPr="00520EB4">
        <w:t>’) to ‘A’</w:t>
      </w:r>
      <w:r w:rsidR="00012AA6">
        <w:t>.</w:t>
      </w:r>
    </w:p>
    <w:p w14:paraId="3DDC82B1" w14:textId="0B4FACC1" w:rsidR="00A42BFF" w:rsidRPr="0096305D" w:rsidRDefault="00121DA2" w:rsidP="00A42BFF">
      <w:pPr>
        <w:pStyle w:val="ListParagraph"/>
        <w:numPr>
          <w:ilvl w:val="0"/>
          <w:numId w:val="27"/>
        </w:numPr>
      </w:pPr>
      <w:r w:rsidRPr="0096305D">
        <w:t xml:space="preserve">In the ‘SMETS Required objects’ tab, </w:t>
      </w:r>
      <w:r w:rsidR="00A42BFF" w:rsidRPr="0096305D">
        <w:t>in all rows where column AH (‘DLMS COSEM Read UC’) contains ‘ECS35f’:</w:t>
      </w:r>
    </w:p>
    <w:p w14:paraId="048E9BD7" w14:textId="77777777" w:rsidR="00A42BFF" w:rsidRPr="0096305D" w:rsidRDefault="00A42BFF" w:rsidP="00A42BFF">
      <w:pPr>
        <w:pStyle w:val="ListParagraph"/>
        <w:numPr>
          <w:ilvl w:val="1"/>
          <w:numId w:val="27"/>
        </w:numPr>
      </w:pPr>
      <w:r w:rsidRPr="0096305D">
        <w:t>copy the value in column Q (‘Access: Supplier (C)’) to column U (‘Access: network Operator (C)’)</w:t>
      </w:r>
    </w:p>
    <w:p w14:paraId="0FB252F6" w14:textId="2A8DC949" w:rsidR="00A42BFF" w:rsidRPr="0096305D" w:rsidRDefault="00A42BFF" w:rsidP="00A42BFF">
      <w:pPr>
        <w:pStyle w:val="ListParagraph"/>
        <w:numPr>
          <w:ilvl w:val="1"/>
          <w:numId w:val="27"/>
        </w:numPr>
      </w:pPr>
      <w:r w:rsidRPr="0096305D">
        <w:t>copy the value in column R (‘Access: Supplier (NC)’) to column V (‘Access: network Operator (NC)’)</w:t>
      </w:r>
    </w:p>
    <w:p w14:paraId="3E00A527" w14:textId="11A02F1F" w:rsidR="00121DA2" w:rsidRPr="0096305D" w:rsidRDefault="00A42BFF" w:rsidP="00A42BFF">
      <w:pPr>
        <w:pStyle w:val="ListParagraph"/>
        <w:numPr>
          <w:ilvl w:val="1"/>
          <w:numId w:val="27"/>
        </w:numPr>
      </w:pPr>
      <w:r w:rsidRPr="0096305D">
        <w:t xml:space="preserve">in column AH (‘DLMS COSEM Read UC’) </w:t>
      </w:r>
      <w:r w:rsidR="00121DA2" w:rsidRPr="0096305D">
        <w:t>replace ‘ECS35f’ with</w:t>
      </w:r>
      <w:r w:rsidR="00E94C9A">
        <w:t xml:space="preserve"> ‘ECS35g’</w:t>
      </w:r>
    </w:p>
    <w:p w14:paraId="40ACD198" w14:textId="77777777" w:rsidR="00012AA6" w:rsidRPr="00520EB4" w:rsidRDefault="00012AA6" w:rsidP="00012AA6">
      <w:pPr>
        <w:pStyle w:val="ListParagraph"/>
        <w:ind w:left="360"/>
      </w:pPr>
    </w:p>
    <w:p w14:paraId="0F509BC0" w14:textId="75DAAA1E" w:rsidR="00121DA2" w:rsidRPr="00520EB4" w:rsidRDefault="00121DA2" w:rsidP="00121DA2">
      <w:r w:rsidRPr="00520EB4">
        <w:rPr>
          <w:u w:val="single"/>
        </w:rPr>
        <w:t>To mark the old ‘ECS35f’ Use Case as unused</w:t>
      </w:r>
      <w:r w:rsidRPr="00520EB4">
        <w:t xml:space="preserve"> and guard against accidental future re-use of either t</w:t>
      </w:r>
      <w:r w:rsidR="00012AA6">
        <w:t>he message code or the</w:t>
      </w:r>
      <w:r w:rsidRPr="00520EB4">
        <w:t xml:space="preserve"> use case tag, in the ‘Use Case Reference’ tab:</w:t>
      </w:r>
    </w:p>
    <w:p w14:paraId="75874C79" w14:textId="64E1641F" w:rsidR="00121DA2" w:rsidRPr="00520EB4" w:rsidRDefault="00121DA2" w:rsidP="00121DA2">
      <w:pPr>
        <w:pStyle w:val="ListParagraph"/>
        <w:numPr>
          <w:ilvl w:val="0"/>
          <w:numId w:val="26"/>
        </w:numPr>
        <w:spacing w:before="120" w:after="120" w:line="240" w:lineRule="auto"/>
      </w:pPr>
      <w:r w:rsidRPr="00520EB4">
        <w:t>Set column A</w:t>
      </w:r>
      <w:r w:rsidR="00520EB4">
        <w:t xml:space="preserve"> </w:t>
      </w:r>
      <w:r w:rsidRPr="00520EB4">
        <w:t>(‘Use Case Name’) to ‘This row is not used’;</w:t>
      </w:r>
    </w:p>
    <w:p w14:paraId="628DB6F7" w14:textId="2A6107C8" w:rsidR="00121DA2" w:rsidRPr="00520EB4" w:rsidRDefault="00121DA2" w:rsidP="00121DA2">
      <w:pPr>
        <w:pStyle w:val="ListParagraph"/>
        <w:numPr>
          <w:ilvl w:val="0"/>
          <w:numId w:val="26"/>
        </w:numPr>
        <w:spacing w:before="120" w:after="120" w:line="240" w:lineRule="auto"/>
      </w:pPr>
      <w:r w:rsidRPr="00520EB4">
        <w:t>Set column B (‘DLMS/ASN.1 message Location (1= in html, TOC = in main GBCS, x = do not u</w:t>
      </w:r>
      <w:r w:rsidR="00520EB4">
        <w:t>se Message Code or Use Case tag</w:t>
      </w:r>
      <w:r w:rsidR="00012AA6">
        <w:t xml:space="preserve"> in columns D and C</w:t>
      </w:r>
      <w:r w:rsidRPr="00520EB4">
        <w:t>’</w:t>
      </w:r>
      <w:r w:rsidR="00012AA6">
        <w:t>)</w:t>
      </w:r>
      <w:r w:rsidRPr="00520EB4">
        <w:t xml:space="preserve"> to ‘x’;</w:t>
      </w:r>
    </w:p>
    <w:p w14:paraId="2FB54A6F" w14:textId="16F9A18C" w:rsidR="00121DA2" w:rsidRPr="00520EB4" w:rsidRDefault="00121DA2" w:rsidP="00520EB4">
      <w:pPr>
        <w:pStyle w:val="ListParagraph"/>
        <w:numPr>
          <w:ilvl w:val="0"/>
          <w:numId w:val="26"/>
        </w:numPr>
        <w:spacing w:before="120" w:after="120" w:line="240" w:lineRule="auto"/>
      </w:pPr>
      <w:r w:rsidRPr="00520EB4">
        <w:t xml:space="preserve">To column C (‘Use Case (DLMS/ASN.1)’) </w:t>
      </w:r>
      <w:r w:rsidR="00520EB4">
        <w:t>and to column D (‘</w:t>
      </w:r>
      <w:r w:rsidR="00520EB4" w:rsidRPr="00520EB4">
        <w:t>Message Code</w:t>
      </w:r>
      <w:r w:rsidR="00520EB4">
        <w:t xml:space="preserve">’) </w:t>
      </w:r>
      <w:r w:rsidRPr="00520EB4">
        <w:t>add a comment ‘Unused since GBCS [</w:t>
      </w:r>
      <w:r w:rsidRPr="00520EB4">
        <w:rPr>
          <w:b/>
        </w:rPr>
        <w:t>DN: last version at which ECS35f was used, so the last GBCS version prior to this change being implemented</w:t>
      </w:r>
      <w:r w:rsidRPr="00520EB4">
        <w:t>]’;</w:t>
      </w:r>
    </w:p>
    <w:p w14:paraId="563059B1" w14:textId="02DCC9AC" w:rsidR="00121DA2" w:rsidRPr="00520EB4" w:rsidRDefault="00012AA6" w:rsidP="00121DA2">
      <w:pPr>
        <w:pStyle w:val="ListParagraph"/>
        <w:numPr>
          <w:ilvl w:val="0"/>
          <w:numId w:val="26"/>
        </w:numPr>
        <w:spacing w:before="120" w:after="120" w:line="240" w:lineRule="auto"/>
      </w:pPr>
      <w:r>
        <w:t>Clear columns E</w:t>
      </w:r>
      <w:r w:rsidR="00121DA2" w:rsidRPr="00520EB4">
        <w:t xml:space="preserve"> to AS inclusive.</w:t>
      </w:r>
    </w:p>
    <w:p w14:paraId="7A42C241" w14:textId="3B07F40B" w:rsidR="00121DA2" w:rsidRDefault="00520EB4" w:rsidP="00121DA2">
      <w:r>
        <w:t>This results in a revised Table 20 and replacement Use Case / Message Template for ECS35f:</w:t>
      </w:r>
    </w:p>
    <w:p w14:paraId="3B2A28B5" w14:textId="34033A79" w:rsidR="00141326" w:rsidRDefault="00141326" w:rsidP="00121DA2">
      <w:r>
        <w:object w:dxaOrig="1534" w:dyaOrig="991" w14:anchorId="57724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55pt" o:ole="">
            <v:imagedata r:id="rId8" o:title=""/>
          </v:shape>
          <o:OLEObject Type="Embed" ProgID="Package" ShapeID="_x0000_i1025" DrawAspect="Icon" ObjectID="_1561354697" r:id="rId9"/>
        </w:object>
      </w:r>
      <w:r>
        <w:object w:dxaOrig="1534" w:dyaOrig="991" w14:anchorId="3B6E6EE3">
          <v:shape id="_x0000_i1026" type="#_x0000_t75" style="width:76.7pt;height:49.55pt" o:ole="">
            <v:imagedata r:id="rId10" o:title=""/>
          </v:shape>
          <o:OLEObject Type="Embed" ProgID="Package" ShapeID="_x0000_i1026" DrawAspect="Icon" ObjectID="_1561354698" r:id="rId11"/>
        </w:object>
      </w:r>
      <w:r>
        <w:object w:dxaOrig="1534" w:dyaOrig="991" w14:anchorId="0B220AC1">
          <v:shape id="_x0000_i1027" type="#_x0000_t75" style="width:76.7pt;height:49.55pt" o:ole="">
            <v:imagedata r:id="rId12" o:title=""/>
          </v:shape>
          <o:OLEObject Type="Embed" ProgID="Excel.Sheet.12" ShapeID="_x0000_i1027" DrawAspect="Icon" ObjectID="_1561354699" r:id="rId13"/>
        </w:object>
      </w:r>
    </w:p>
    <w:p w14:paraId="41BA8034" w14:textId="77777777" w:rsidR="0000457B" w:rsidRDefault="0000457B" w:rsidP="0000457B">
      <w:r w:rsidRPr="00030658">
        <w:rPr>
          <w:b/>
        </w:rPr>
        <w:t>DCC Us</w:t>
      </w:r>
      <w:r>
        <w:rPr>
          <w:b/>
        </w:rPr>
        <w:t xml:space="preserve">er Interface Services Schedule </w:t>
      </w:r>
      <w:r w:rsidRPr="0062055F">
        <w:rPr>
          <w:b/>
        </w:rPr>
        <w:t>changes</w:t>
      </w:r>
    </w:p>
    <w:p w14:paraId="2AD51ED0" w14:textId="77777777" w:rsidR="0000457B" w:rsidRDefault="0000457B" w:rsidP="0000457B">
      <w:r>
        <w:t>[DN: tbc]</w:t>
      </w:r>
    </w:p>
    <w:p w14:paraId="4D0BD5D2" w14:textId="77777777" w:rsidR="0000457B" w:rsidRDefault="0000457B" w:rsidP="0000457B">
      <w:pPr>
        <w:rPr>
          <w:b/>
        </w:rPr>
      </w:pPr>
    </w:p>
    <w:p w14:paraId="5A16C556" w14:textId="77777777" w:rsidR="0000457B" w:rsidRDefault="0000457B" w:rsidP="0000457B">
      <w:r w:rsidRPr="0062055F">
        <w:rPr>
          <w:b/>
        </w:rPr>
        <w:t>DUIS changes</w:t>
      </w:r>
    </w:p>
    <w:p w14:paraId="369D4B3C" w14:textId="77777777" w:rsidR="0000457B" w:rsidRDefault="0000457B" w:rsidP="0000457B">
      <w:r>
        <w:t>[DN: tbc]</w:t>
      </w:r>
    </w:p>
    <w:p w14:paraId="4B5C1237" w14:textId="77777777" w:rsidR="0000457B" w:rsidRDefault="0000457B" w:rsidP="0000457B"/>
    <w:p w14:paraId="2633A485" w14:textId="77777777" w:rsidR="0000457B" w:rsidRDefault="0000457B" w:rsidP="0000457B">
      <w:r w:rsidRPr="0062055F">
        <w:rPr>
          <w:b/>
        </w:rPr>
        <w:t>MMC changes</w:t>
      </w:r>
    </w:p>
    <w:p w14:paraId="263B424F" w14:textId="77777777" w:rsidR="0000457B" w:rsidRDefault="0000457B" w:rsidP="0000457B">
      <w:r>
        <w:t>[DN: tbc]</w:t>
      </w:r>
    </w:p>
    <w:p w14:paraId="4A6B88D2" w14:textId="77777777" w:rsidR="0000457B" w:rsidRDefault="0000457B" w:rsidP="0000457B"/>
    <w:p w14:paraId="1A6CBC01" w14:textId="77777777" w:rsidR="0000457B" w:rsidRDefault="0000457B" w:rsidP="0000457B">
      <w:r w:rsidRPr="0062055F">
        <w:rPr>
          <w:b/>
        </w:rPr>
        <w:t>Other SEC document changes</w:t>
      </w:r>
    </w:p>
    <w:p w14:paraId="5875326D" w14:textId="77777777" w:rsidR="0000457B" w:rsidRDefault="0000457B" w:rsidP="0000457B">
      <w:r>
        <w:t>[DN: tbc]</w:t>
      </w:r>
    </w:p>
    <w:p w14:paraId="231C650D" w14:textId="77777777" w:rsidR="0000457B" w:rsidRDefault="0000457B" w:rsidP="0000457B"/>
    <w:p w14:paraId="135D7B51" w14:textId="77777777" w:rsidR="0000457B" w:rsidRDefault="0000457B" w:rsidP="0000457B">
      <w:r w:rsidRPr="0062055F">
        <w:rPr>
          <w:b/>
        </w:rPr>
        <w:t>Changes to documents outside of SEC</w:t>
      </w:r>
    </w:p>
    <w:p w14:paraId="045092DE" w14:textId="77777777" w:rsidR="0000457B" w:rsidRDefault="0000457B" w:rsidP="0000457B">
      <w:r>
        <w:t>None</w:t>
      </w:r>
    </w:p>
    <w:p w14:paraId="221F0A38" w14:textId="77777777" w:rsidR="0000457B" w:rsidRDefault="0000457B" w:rsidP="0000457B">
      <w:pPr>
        <w:spacing w:line="240" w:lineRule="auto"/>
        <w:rPr>
          <w:rFonts w:ascii="Arial" w:hAnsi="Arial" w:cs="Arial"/>
          <w:b/>
          <w:bCs/>
          <w:color w:val="49A730"/>
          <w:szCs w:val="28"/>
        </w:rPr>
      </w:pPr>
    </w:p>
    <w:p w14:paraId="34425103" w14:textId="77777777" w:rsidR="0000457B" w:rsidRDefault="0000457B" w:rsidP="0000457B">
      <w:pPr>
        <w:pStyle w:val="Default"/>
        <w:spacing w:line="300" w:lineRule="atLeast"/>
        <w:rPr>
          <w:sz w:val="20"/>
          <w:szCs w:val="20"/>
        </w:rPr>
      </w:pPr>
    </w:p>
    <w:p w14:paraId="7A13BD7B" w14:textId="20B0B3B5" w:rsidR="00085105" w:rsidRPr="00085105" w:rsidRDefault="001E7009" w:rsidP="00040078">
      <w:pPr>
        <w:spacing w:before="240" w:line="300" w:lineRule="atLeast"/>
        <w:rPr>
          <w:rFonts w:ascii="Tahoma" w:eastAsia="Times New Roman" w:hAnsi="Tahoma" w:cs="Times New Roman"/>
          <w:b/>
          <w:bCs/>
          <w:color w:val="008576"/>
          <w:sz w:val="24"/>
          <w:szCs w:val="28"/>
          <w:lang w:eastAsia="en-GB"/>
        </w:rPr>
      </w:pPr>
      <w:r>
        <w:rPr>
          <w:rFonts w:ascii="Tahoma" w:eastAsia="Times New Roman" w:hAnsi="Tahoma" w:cs="Times New Roman"/>
          <w:b/>
          <w:bCs/>
          <w:color w:val="008576"/>
          <w:sz w:val="24"/>
          <w:szCs w:val="28"/>
          <w:lang w:eastAsia="en-GB"/>
        </w:rPr>
        <w:lastRenderedPageBreak/>
        <w:t xml:space="preserve">  </w:t>
      </w:r>
      <w:r w:rsidR="00085105" w:rsidRPr="00085105">
        <w:rPr>
          <w:rFonts w:ascii="Tahoma" w:eastAsia="Times New Roman" w:hAnsi="Tahoma" w:cs="Times New Roman"/>
          <w:b/>
          <w:bCs/>
          <w:color w:val="008576"/>
          <w:sz w:val="24"/>
          <w:szCs w:val="28"/>
          <w:lang w:eastAsia="en-GB"/>
        </w:rPr>
        <w:t xml:space="preserve">Appendix – Acronyms </w:t>
      </w:r>
    </w:p>
    <w:tbl>
      <w:tblPr>
        <w:tblStyle w:val="TableGrid"/>
        <w:tblW w:w="0" w:type="auto"/>
        <w:tblLook w:val="04A0" w:firstRow="1" w:lastRow="0" w:firstColumn="1" w:lastColumn="0" w:noHBand="0" w:noVBand="1"/>
      </w:tblPr>
      <w:tblGrid>
        <w:gridCol w:w="1555"/>
        <w:gridCol w:w="8901"/>
      </w:tblGrid>
      <w:tr w:rsidR="00085105" w:rsidRPr="00085105" w14:paraId="76015158" w14:textId="77777777" w:rsidTr="001B33AA">
        <w:trPr>
          <w:trHeight w:val="86"/>
        </w:trPr>
        <w:tc>
          <w:tcPr>
            <w:tcW w:w="1555" w:type="dxa"/>
            <w:shd w:val="clear" w:color="auto" w:fill="BFBFBF"/>
          </w:tcPr>
          <w:p w14:paraId="4E4ABE8F" w14:textId="5015CA24" w:rsidR="00085105" w:rsidRPr="00085105" w:rsidRDefault="00085105" w:rsidP="001B33AA">
            <w:pPr>
              <w:rPr>
                <w:rFonts w:ascii="Arial" w:hAnsi="Arial" w:cs="Arial"/>
                <w:b/>
                <w:szCs w:val="24"/>
              </w:rPr>
            </w:pPr>
            <w:r w:rsidRPr="00085105">
              <w:rPr>
                <w:rFonts w:ascii="Arial" w:hAnsi="Arial" w:cs="Arial"/>
                <w:b/>
                <w:szCs w:val="24"/>
              </w:rPr>
              <w:t xml:space="preserve">Acronym </w:t>
            </w:r>
          </w:p>
        </w:tc>
        <w:tc>
          <w:tcPr>
            <w:tcW w:w="8901" w:type="dxa"/>
            <w:shd w:val="clear" w:color="auto" w:fill="BFBFBF"/>
          </w:tcPr>
          <w:p w14:paraId="247D4D0A" w14:textId="09AAABCE" w:rsidR="00085105" w:rsidRPr="00085105" w:rsidRDefault="00085105" w:rsidP="001B33AA">
            <w:pPr>
              <w:rPr>
                <w:rFonts w:ascii="Arial" w:hAnsi="Arial" w:cs="Arial"/>
                <w:b/>
                <w:szCs w:val="24"/>
              </w:rPr>
            </w:pPr>
            <w:r w:rsidRPr="00085105">
              <w:rPr>
                <w:rFonts w:ascii="Arial" w:hAnsi="Arial" w:cs="Arial"/>
                <w:b/>
                <w:szCs w:val="24"/>
              </w:rPr>
              <w:t>Definition</w:t>
            </w:r>
          </w:p>
        </w:tc>
      </w:tr>
      <w:tr w:rsidR="00085105" w:rsidRPr="00085105" w14:paraId="20E78CCB" w14:textId="77777777" w:rsidTr="003D7622">
        <w:trPr>
          <w:trHeight w:val="300"/>
        </w:trPr>
        <w:tc>
          <w:tcPr>
            <w:tcW w:w="1555" w:type="dxa"/>
            <w:hideMark/>
          </w:tcPr>
          <w:p w14:paraId="2B9A9F92" w14:textId="3374E213" w:rsidR="00085105" w:rsidRPr="00E56D49" w:rsidRDefault="00085105" w:rsidP="00B417B7">
            <w:pPr>
              <w:rPr>
                <w:rFonts w:ascii="Arial" w:eastAsiaTheme="minorHAnsi" w:hAnsi="Arial" w:cs="Arial"/>
                <w:sz w:val="22"/>
                <w:szCs w:val="22"/>
                <w:lang w:eastAsia="en-US"/>
              </w:rPr>
            </w:pPr>
            <w:r w:rsidRPr="00E56D49">
              <w:rPr>
                <w:rFonts w:ascii="Arial" w:eastAsiaTheme="minorHAnsi" w:hAnsi="Arial" w:cs="Arial"/>
                <w:sz w:val="22"/>
                <w:szCs w:val="22"/>
                <w:lang w:eastAsia="en-US"/>
              </w:rPr>
              <w:t>ALCS</w:t>
            </w:r>
          </w:p>
        </w:tc>
        <w:tc>
          <w:tcPr>
            <w:tcW w:w="8901" w:type="dxa"/>
            <w:hideMark/>
          </w:tcPr>
          <w:p w14:paraId="65E86E97" w14:textId="221B2476" w:rsidR="00085105" w:rsidRPr="00E56D49" w:rsidRDefault="00085105" w:rsidP="00CC6D92">
            <w:pPr>
              <w:rPr>
                <w:rFonts w:ascii="Arial" w:eastAsiaTheme="minorHAnsi" w:hAnsi="Arial" w:cs="Arial"/>
                <w:sz w:val="22"/>
                <w:szCs w:val="22"/>
                <w:lang w:eastAsia="en-US"/>
              </w:rPr>
            </w:pPr>
            <w:r w:rsidRPr="00E56D49">
              <w:rPr>
                <w:rFonts w:ascii="Arial" w:eastAsiaTheme="minorHAnsi" w:hAnsi="Arial" w:cs="Arial"/>
                <w:sz w:val="22"/>
                <w:szCs w:val="22"/>
                <w:lang w:eastAsia="en-US"/>
              </w:rPr>
              <w:t>Auxiliary Load Control Switch</w:t>
            </w:r>
          </w:p>
        </w:tc>
      </w:tr>
      <w:tr w:rsidR="00085105" w:rsidRPr="00085105" w14:paraId="0DF1E0C3" w14:textId="77777777" w:rsidTr="003D7622">
        <w:trPr>
          <w:trHeight w:val="300"/>
        </w:trPr>
        <w:tc>
          <w:tcPr>
            <w:tcW w:w="1555" w:type="dxa"/>
          </w:tcPr>
          <w:p w14:paraId="516AF27C" w14:textId="0A1E1461" w:rsidR="00085105" w:rsidRPr="00E56D49" w:rsidRDefault="00085105" w:rsidP="00B417B7">
            <w:pPr>
              <w:rPr>
                <w:rFonts w:ascii="Arial" w:eastAsiaTheme="minorHAnsi" w:hAnsi="Arial" w:cs="Arial"/>
                <w:sz w:val="22"/>
                <w:szCs w:val="22"/>
                <w:lang w:eastAsia="en-US"/>
              </w:rPr>
            </w:pPr>
            <w:r w:rsidRPr="00E56D49">
              <w:rPr>
                <w:rFonts w:ascii="Arial" w:eastAsiaTheme="minorHAnsi" w:hAnsi="Arial" w:cs="Arial"/>
                <w:sz w:val="22"/>
                <w:szCs w:val="22"/>
                <w:lang w:eastAsia="en-US"/>
              </w:rPr>
              <w:t>DCC</w:t>
            </w:r>
          </w:p>
        </w:tc>
        <w:tc>
          <w:tcPr>
            <w:tcW w:w="8901" w:type="dxa"/>
          </w:tcPr>
          <w:p w14:paraId="0EE54E19" w14:textId="3F0083F0" w:rsidR="00085105" w:rsidRPr="00E56D49" w:rsidRDefault="00085105" w:rsidP="00CC6D92">
            <w:pPr>
              <w:rPr>
                <w:rFonts w:ascii="Arial" w:eastAsiaTheme="minorHAnsi" w:hAnsi="Arial" w:cs="Arial"/>
                <w:sz w:val="22"/>
                <w:szCs w:val="22"/>
                <w:lang w:eastAsia="en-US"/>
              </w:rPr>
            </w:pPr>
            <w:r w:rsidRPr="00E56D49">
              <w:rPr>
                <w:rFonts w:ascii="Arial" w:eastAsiaTheme="minorHAnsi" w:hAnsi="Arial" w:cs="Arial"/>
                <w:sz w:val="22"/>
                <w:szCs w:val="22"/>
                <w:lang w:eastAsia="en-US"/>
              </w:rPr>
              <w:t>Data and Communications Company</w:t>
            </w:r>
          </w:p>
        </w:tc>
      </w:tr>
      <w:tr w:rsidR="005655A7" w:rsidRPr="00085105" w14:paraId="4765430A" w14:textId="77777777" w:rsidTr="003D7622">
        <w:trPr>
          <w:trHeight w:val="300"/>
        </w:trPr>
        <w:tc>
          <w:tcPr>
            <w:tcW w:w="1555" w:type="dxa"/>
          </w:tcPr>
          <w:p w14:paraId="5B5F7198" w14:textId="6344AC7F" w:rsidR="005655A7" w:rsidRPr="005655A7" w:rsidRDefault="005655A7" w:rsidP="00E56D49">
            <w:pPr>
              <w:rPr>
                <w:rFonts w:ascii="Arial" w:hAnsi="Arial" w:cs="Arial"/>
                <w:sz w:val="22"/>
              </w:rPr>
            </w:pPr>
            <w:r>
              <w:rPr>
                <w:rFonts w:ascii="Arial" w:hAnsi="Arial" w:cs="Arial"/>
                <w:sz w:val="22"/>
              </w:rPr>
              <w:t>ED</w:t>
            </w:r>
          </w:p>
        </w:tc>
        <w:tc>
          <w:tcPr>
            <w:tcW w:w="8901" w:type="dxa"/>
          </w:tcPr>
          <w:p w14:paraId="7795C2F6" w14:textId="380F5E39" w:rsidR="005655A7" w:rsidRPr="005655A7" w:rsidRDefault="005655A7" w:rsidP="00E56D49">
            <w:pPr>
              <w:rPr>
                <w:rFonts w:ascii="Arial" w:hAnsi="Arial" w:cs="Arial"/>
                <w:sz w:val="22"/>
              </w:rPr>
            </w:pPr>
            <w:r>
              <w:rPr>
                <w:rFonts w:ascii="Arial" w:hAnsi="Arial" w:cs="Arial"/>
                <w:sz w:val="22"/>
              </w:rPr>
              <w:t>Electricity Distributor</w:t>
            </w:r>
          </w:p>
        </w:tc>
      </w:tr>
      <w:tr w:rsidR="00E56D49" w:rsidRPr="00085105" w14:paraId="18B50A0F" w14:textId="77777777" w:rsidTr="003D7622">
        <w:trPr>
          <w:trHeight w:val="300"/>
        </w:trPr>
        <w:tc>
          <w:tcPr>
            <w:tcW w:w="1555" w:type="dxa"/>
          </w:tcPr>
          <w:p w14:paraId="24650649" w14:textId="778C5C04" w:rsidR="00E56D49" w:rsidRPr="00E56D49" w:rsidRDefault="00E56D49" w:rsidP="00E56D49">
            <w:pPr>
              <w:rPr>
                <w:rFonts w:ascii="Arial" w:hAnsi="Arial" w:cs="Arial"/>
                <w:sz w:val="22"/>
                <w:szCs w:val="22"/>
              </w:rPr>
            </w:pPr>
            <w:r w:rsidRPr="00E56D49">
              <w:rPr>
                <w:rFonts w:ascii="Arial" w:hAnsi="Arial" w:cs="Arial"/>
                <w:sz w:val="22"/>
                <w:szCs w:val="22"/>
              </w:rPr>
              <w:t>ESME</w:t>
            </w:r>
          </w:p>
        </w:tc>
        <w:tc>
          <w:tcPr>
            <w:tcW w:w="8901" w:type="dxa"/>
          </w:tcPr>
          <w:p w14:paraId="52AED883" w14:textId="5EB30ECC" w:rsidR="00E56D49" w:rsidRPr="00E56D49" w:rsidRDefault="00E56D49" w:rsidP="00E56D49">
            <w:pPr>
              <w:rPr>
                <w:rFonts w:ascii="Arial" w:hAnsi="Arial" w:cs="Arial"/>
                <w:sz w:val="22"/>
                <w:szCs w:val="22"/>
              </w:rPr>
            </w:pPr>
            <w:r w:rsidRPr="00E56D49">
              <w:rPr>
                <w:rFonts w:ascii="Arial" w:hAnsi="Arial" w:cs="Arial"/>
                <w:sz w:val="22"/>
                <w:szCs w:val="22"/>
              </w:rPr>
              <w:t>Electricity Smart Metering Equipment</w:t>
            </w:r>
          </w:p>
        </w:tc>
      </w:tr>
      <w:tr w:rsidR="00E56D49" w:rsidRPr="00085105" w14:paraId="7D9F58FB" w14:textId="77777777" w:rsidTr="003D7622">
        <w:trPr>
          <w:trHeight w:val="300"/>
        </w:trPr>
        <w:tc>
          <w:tcPr>
            <w:tcW w:w="1555" w:type="dxa"/>
          </w:tcPr>
          <w:p w14:paraId="2005ED94" w14:textId="51F0D41E" w:rsidR="00E56D49" w:rsidRPr="00E56D49" w:rsidRDefault="00E56D49" w:rsidP="00E56D49">
            <w:pPr>
              <w:rPr>
                <w:rFonts w:ascii="Arial" w:hAnsi="Arial" w:cs="Arial"/>
                <w:sz w:val="22"/>
                <w:szCs w:val="22"/>
              </w:rPr>
            </w:pPr>
            <w:r w:rsidRPr="00E56D49">
              <w:rPr>
                <w:rFonts w:ascii="Arial" w:hAnsi="Arial" w:cs="Arial"/>
                <w:sz w:val="22"/>
                <w:szCs w:val="22"/>
              </w:rPr>
              <w:t>GBCS</w:t>
            </w:r>
          </w:p>
        </w:tc>
        <w:tc>
          <w:tcPr>
            <w:tcW w:w="8901" w:type="dxa"/>
          </w:tcPr>
          <w:p w14:paraId="1E780688" w14:textId="4AD9CB97" w:rsidR="00E56D49" w:rsidRPr="00E56D49" w:rsidRDefault="00E56D49" w:rsidP="00E56D49">
            <w:pPr>
              <w:rPr>
                <w:rFonts w:ascii="Arial" w:hAnsi="Arial" w:cs="Arial"/>
                <w:sz w:val="22"/>
                <w:szCs w:val="22"/>
              </w:rPr>
            </w:pPr>
            <w:r w:rsidRPr="00E56D49">
              <w:rPr>
                <w:rFonts w:ascii="Arial" w:hAnsi="Arial" w:cs="Arial"/>
                <w:sz w:val="22"/>
                <w:szCs w:val="22"/>
              </w:rPr>
              <w:t>Great Britain Companion Specification</w:t>
            </w:r>
          </w:p>
        </w:tc>
      </w:tr>
      <w:tr w:rsidR="00E56D49" w:rsidRPr="00085105" w14:paraId="78F0C334" w14:textId="77777777" w:rsidTr="003D7622">
        <w:trPr>
          <w:trHeight w:val="300"/>
        </w:trPr>
        <w:tc>
          <w:tcPr>
            <w:tcW w:w="1555" w:type="dxa"/>
          </w:tcPr>
          <w:p w14:paraId="5E70F366" w14:textId="2369B0CB" w:rsidR="00E56D49" w:rsidRPr="00E56D49" w:rsidRDefault="00E56D49" w:rsidP="00E56D49">
            <w:pPr>
              <w:rPr>
                <w:rFonts w:ascii="Arial" w:eastAsiaTheme="minorHAnsi" w:hAnsi="Arial" w:cs="Arial"/>
                <w:sz w:val="22"/>
                <w:szCs w:val="22"/>
                <w:lang w:eastAsia="en-US"/>
              </w:rPr>
            </w:pPr>
            <w:r w:rsidRPr="00E56D49">
              <w:rPr>
                <w:rFonts w:ascii="Arial" w:eastAsiaTheme="minorHAnsi" w:hAnsi="Arial" w:cs="Arial"/>
                <w:sz w:val="22"/>
                <w:szCs w:val="22"/>
                <w:lang w:eastAsia="en-US"/>
              </w:rPr>
              <w:t>HCALCS</w:t>
            </w:r>
          </w:p>
        </w:tc>
        <w:tc>
          <w:tcPr>
            <w:tcW w:w="8901" w:type="dxa"/>
          </w:tcPr>
          <w:p w14:paraId="2E366C98" w14:textId="0446AE7B" w:rsidR="00E56D49" w:rsidRPr="00E56D49" w:rsidRDefault="00E56D49" w:rsidP="00E56D49">
            <w:pPr>
              <w:rPr>
                <w:rFonts w:ascii="Arial" w:eastAsiaTheme="minorHAnsi" w:hAnsi="Arial" w:cs="Arial"/>
                <w:sz w:val="22"/>
                <w:szCs w:val="22"/>
                <w:lang w:eastAsia="en-US"/>
              </w:rPr>
            </w:pPr>
            <w:r w:rsidRPr="00E56D49">
              <w:rPr>
                <w:rFonts w:ascii="Arial" w:eastAsiaTheme="minorHAnsi" w:hAnsi="Arial" w:cs="Arial"/>
                <w:sz w:val="22"/>
                <w:szCs w:val="22"/>
                <w:lang w:eastAsia="en-US"/>
              </w:rPr>
              <w:t>HAN Controlled Auxiliary Load Control Switch</w:t>
            </w:r>
          </w:p>
        </w:tc>
      </w:tr>
    </w:tbl>
    <w:p w14:paraId="4704D320" w14:textId="1503C371" w:rsidR="00DD5F78" w:rsidRPr="00D77BE0" w:rsidRDefault="00DD5F78" w:rsidP="00DB6A18">
      <w:pPr>
        <w:rPr>
          <w:color w:val="C00000"/>
          <w:u w:val="single"/>
        </w:rPr>
      </w:pPr>
    </w:p>
    <w:sectPr w:rsidR="00DD5F78" w:rsidRPr="00D77BE0" w:rsidSect="0078413E">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BA61F" w14:textId="77777777" w:rsidR="005F096B" w:rsidRDefault="005F096B" w:rsidP="009319E6">
      <w:pPr>
        <w:spacing w:after="0" w:line="240" w:lineRule="auto"/>
      </w:pPr>
      <w:r>
        <w:separator/>
      </w:r>
    </w:p>
  </w:endnote>
  <w:endnote w:type="continuationSeparator" w:id="0">
    <w:p w14:paraId="084BD401" w14:textId="77777777" w:rsidR="005F096B" w:rsidRDefault="005F096B" w:rsidP="00931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5A6AD" w14:textId="5322CB37" w:rsidR="006E3934" w:rsidRDefault="006E3934">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9538D">
      <w:rPr>
        <w:caps/>
        <w:noProof/>
        <w:color w:val="5B9BD5" w:themeColor="accent1"/>
      </w:rPr>
      <w:t>2</w:t>
    </w:r>
    <w:r>
      <w:rPr>
        <w:caps/>
        <w:noProof/>
        <w:color w:val="5B9BD5" w:themeColor="accent1"/>
      </w:rPr>
      <w:fldChar w:fldCharType="end"/>
    </w:r>
  </w:p>
  <w:p w14:paraId="3C87171E" w14:textId="38E9F881" w:rsidR="006E3934" w:rsidRDefault="006E3934">
    <w:pPr>
      <w:pStyle w:val="Footer"/>
    </w:pPr>
    <w:r>
      <w:tab/>
    </w:r>
    <w:r>
      <w:tab/>
    </w:r>
    <w:r>
      <w:tab/>
    </w:r>
    <w:r>
      <w:tab/>
    </w:r>
    <w:r>
      <w:tab/>
      <w:t xml:space="preserve">Status: For </w:t>
    </w:r>
    <w:r w:rsidR="0059538D">
      <w:t>DCC Full Impact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10415" w14:textId="77777777" w:rsidR="005F096B" w:rsidRDefault="005F096B" w:rsidP="009319E6">
      <w:pPr>
        <w:spacing w:after="0" w:line="240" w:lineRule="auto"/>
      </w:pPr>
      <w:r>
        <w:separator/>
      </w:r>
    </w:p>
  </w:footnote>
  <w:footnote w:type="continuationSeparator" w:id="0">
    <w:p w14:paraId="2BA4200D" w14:textId="77777777" w:rsidR="005F096B" w:rsidRDefault="005F096B" w:rsidP="009319E6">
      <w:pPr>
        <w:spacing w:after="0" w:line="240" w:lineRule="auto"/>
      </w:pPr>
      <w:r>
        <w:continuationSeparator/>
      </w:r>
    </w:p>
  </w:footnote>
  <w:footnote w:id="1">
    <w:p w14:paraId="0BE10D8D" w14:textId="4B372369" w:rsidR="00502340" w:rsidRDefault="00502340">
      <w:pPr>
        <w:pStyle w:val="FootnoteText"/>
      </w:pPr>
      <w:r>
        <w:rPr>
          <w:rStyle w:val="FootnoteReference"/>
        </w:rPr>
        <w:footnoteRef/>
      </w:r>
      <w:r>
        <w:t xml:space="preserve"> </w:t>
      </w:r>
      <w:hyperlink r:id="rId1" w:history="1">
        <w:r>
          <w:rPr>
            <w:rStyle w:val="Hyperlink"/>
          </w:rPr>
          <w:t>SCHEDULE 8 – DEMAND CONTROL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B8856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C47F2"/>
    <w:multiLevelType w:val="hybridMultilevel"/>
    <w:tmpl w:val="DF707BE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433A9426">
      <w:numFmt w:val="bullet"/>
      <w:lvlText w:val="•"/>
      <w:lvlJc w:val="left"/>
      <w:pPr>
        <w:ind w:left="2340" w:hanging="360"/>
      </w:pPr>
      <w:rPr>
        <w:rFonts w:ascii="Times New Roman" w:eastAsia="Times New Roman"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D57122"/>
    <w:multiLevelType w:val="hybridMultilevel"/>
    <w:tmpl w:val="62688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813A5C"/>
    <w:multiLevelType w:val="hybridMultilevel"/>
    <w:tmpl w:val="29A61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D360C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6618F7"/>
    <w:multiLevelType w:val="hybridMultilevel"/>
    <w:tmpl w:val="BDEA34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507FCB"/>
    <w:multiLevelType w:val="hybridMultilevel"/>
    <w:tmpl w:val="D9DED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2B57C3"/>
    <w:multiLevelType w:val="hybridMultilevel"/>
    <w:tmpl w:val="34749C5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0ECF483F"/>
    <w:multiLevelType w:val="hybridMultilevel"/>
    <w:tmpl w:val="3EA80AB8"/>
    <w:lvl w:ilvl="0" w:tplc="27CE8C64">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FD21B8"/>
    <w:multiLevelType w:val="hybridMultilevel"/>
    <w:tmpl w:val="D9DC4732"/>
    <w:lvl w:ilvl="0" w:tplc="6BCA8EF6">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5D71DD"/>
    <w:multiLevelType w:val="hybridMultilevel"/>
    <w:tmpl w:val="7FA0A0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3C639B"/>
    <w:multiLevelType w:val="hybridMultilevel"/>
    <w:tmpl w:val="A7D28C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DB7020"/>
    <w:multiLevelType w:val="hybridMultilevel"/>
    <w:tmpl w:val="6562E62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23344B8F"/>
    <w:multiLevelType w:val="hybridMultilevel"/>
    <w:tmpl w:val="D2D8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E2AE1"/>
    <w:multiLevelType w:val="hybridMultilevel"/>
    <w:tmpl w:val="4686FC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4351A62"/>
    <w:multiLevelType w:val="hybridMultilevel"/>
    <w:tmpl w:val="D1BA4B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691DF4"/>
    <w:multiLevelType w:val="hybridMultilevel"/>
    <w:tmpl w:val="9A24D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FA3D97"/>
    <w:multiLevelType w:val="hybridMultilevel"/>
    <w:tmpl w:val="4B883984"/>
    <w:lvl w:ilvl="0" w:tplc="04A6A2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25C7BA5"/>
    <w:multiLevelType w:val="hybridMultilevel"/>
    <w:tmpl w:val="D6B696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E7481E"/>
    <w:multiLevelType w:val="hybridMultilevel"/>
    <w:tmpl w:val="F1700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C45B2A"/>
    <w:multiLevelType w:val="hybridMultilevel"/>
    <w:tmpl w:val="B39026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166E10"/>
    <w:multiLevelType w:val="hybridMultilevel"/>
    <w:tmpl w:val="3B9A1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1F3E7A"/>
    <w:multiLevelType w:val="hybridMultilevel"/>
    <w:tmpl w:val="C45804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B25A69"/>
    <w:multiLevelType w:val="hybridMultilevel"/>
    <w:tmpl w:val="FB6041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CA0ED4"/>
    <w:multiLevelType w:val="hybridMultilevel"/>
    <w:tmpl w:val="6562E62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6C990A65"/>
    <w:multiLevelType w:val="hybridMultilevel"/>
    <w:tmpl w:val="3C24A0EE"/>
    <w:lvl w:ilvl="0" w:tplc="E56621C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7B5C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C8974D0"/>
    <w:multiLevelType w:val="hybridMultilevel"/>
    <w:tmpl w:val="CFA6B3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25"/>
  </w:num>
  <w:num w:numId="4">
    <w:abstractNumId w:val="27"/>
  </w:num>
  <w:num w:numId="5">
    <w:abstractNumId w:val="15"/>
  </w:num>
  <w:num w:numId="6">
    <w:abstractNumId w:val="20"/>
  </w:num>
  <w:num w:numId="7">
    <w:abstractNumId w:val="3"/>
  </w:num>
  <w:num w:numId="8">
    <w:abstractNumId w:val="2"/>
  </w:num>
  <w:num w:numId="9">
    <w:abstractNumId w:val="24"/>
  </w:num>
  <w:num w:numId="10">
    <w:abstractNumId w:val="12"/>
  </w:num>
  <w:num w:numId="11">
    <w:abstractNumId w:val="9"/>
  </w:num>
  <w:num w:numId="12">
    <w:abstractNumId w:val="17"/>
  </w:num>
  <w:num w:numId="13">
    <w:abstractNumId w:val="16"/>
  </w:num>
  <w:num w:numId="14">
    <w:abstractNumId w:val="18"/>
  </w:num>
  <w:num w:numId="15">
    <w:abstractNumId w:val="22"/>
  </w:num>
  <w:num w:numId="16">
    <w:abstractNumId w:val="11"/>
  </w:num>
  <w:num w:numId="17">
    <w:abstractNumId w:val="10"/>
  </w:num>
  <w:num w:numId="18">
    <w:abstractNumId w:val="0"/>
  </w:num>
  <w:num w:numId="19">
    <w:abstractNumId w:val="13"/>
  </w:num>
  <w:num w:numId="20">
    <w:abstractNumId w:val="5"/>
  </w:num>
  <w:num w:numId="21">
    <w:abstractNumId w:val="8"/>
  </w:num>
  <w:num w:numId="22">
    <w:abstractNumId w:val="7"/>
  </w:num>
  <w:num w:numId="23">
    <w:abstractNumId w:val="21"/>
  </w:num>
  <w:num w:numId="24">
    <w:abstractNumId w:val="14"/>
  </w:num>
  <w:num w:numId="25">
    <w:abstractNumId w:val="19"/>
  </w:num>
  <w:num w:numId="26">
    <w:abstractNumId w:val="4"/>
  </w:num>
  <w:num w:numId="27">
    <w:abstractNumId w:val="2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3EC"/>
    <w:rsid w:val="00001F96"/>
    <w:rsid w:val="00002686"/>
    <w:rsid w:val="0000457B"/>
    <w:rsid w:val="00012AA6"/>
    <w:rsid w:val="00027B8D"/>
    <w:rsid w:val="00031102"/>
    <w:rsid w:val="00040078"/>
    <w:rsid w:val="00065798"/>
    <w:rsid w:val="00085105"/>
    <w:rsid w:val="00085EC4"/>
    <w:rsid w:val="00087874"/>
    <w:rsid w:val="00096138"/>
    <w:rsid w:val="000B382B"/>
    <w:rsid w:val="000D5C4C"/>
    <w:rsid w:val="000E2D4E"/>
    <w:rsid w:val="000E76E2"/>
    <w:rsid w:val="000E789E"/>
    <w:rsid w:val="000F60F5"/>
    <w:rsid w:val="00113725"/>
    <w:rsid w:val="00121DA2"/>
    <w:rsid w:val="00135509"/>
    <w:rsid w:val="0013698B"/>
    <w:rsid w:val="00141326"/>
    <w:rsid w:val="0015411C"/>
    <w:rsid w:val="0015428B"/>
    <w:rsid w:val="00161454"/>
    <w:rsid w:val="001805CB"/>
    <w:rsid w:val="001821C3"/>
    <w:rsid w:val="00192348"/>
    <w:rsid w:val="001B1083"/>
    <w:rsid w:val="001B33AA"/>
    <w:rsid w:val="001C05EE"/>
    <w:rsid w:val="001D5C81"/>
    <w:rsid w:val="001D6331"/>
    <w:rsid w:val="001E4B5D"/>
    <w:rsid w:val="001E7009"/>
    <w:rsid w:val="002077A1"/>
    <w:rsid w:val="00237A3B"/>
    <w:rsid w:val="0027524F"/>
    <w:rsid w:val="00283B6A"/>
    <w:rsid w:val="0029428F"/>
    <w:rsid w:val="002A1282"/>
    <w:rsid w:val="002A47D9"/>
    <w:rsid w:val="002A67E4"/>
    <w:rsid w:val="002B33BA"/>
    <w:rsid w:val="002D21B3"/>
    <w:rsid w:val="002D3F33"/>
    <w:rsid w:val="002D7A17"/>
    <w:rsid w:val="002F77A2"/>
    <w:rsid w:val="003060F2"/>
    <w:rsid w:val="00311B8D"/>
    <w:rsid w:val="00320E18"/>
    <w:rsid w:val="0033593F"/>
    <w:rsid w:val="003504F6"/>
    <w:rsid w:val="00353EA3"/>
    <w:rsid w:val="00375FFD"/>
    <w:rsid w:val="00376A05"/>
    <w:rsid w:val="0039635E"/>
    <w:rsid w:val="003F721E"/>
    <w:rsid w:val="004106AD"/>
    <w:rsid w:val="004164A3"/>
    <w:rsid w:val="00451090"/>
    <w:rsid w:val="004B17FF"/>
    <w:rsid w:val="004B1A87"/>
    <w:rsid w:val="004B7B1D"/>
    <w:rsid w:val="004C5E06"/>
    <w:rsid w:val="004E2485"/>
    <w:rsid w:val="00500EBD"/>
    <w:rsid w:val="00502340"/>
    <w:rsid w:val="00502B28"/>
    <w:rsid w:val="00511E11"/>
    <w:rsid w:val="00520EB4"/>
    <w:rsid w:val="0052166B"/>
    <w:rsid w:val="00527339"/>
    <w:rsid w:val="00533667"/>
    <w:rsid w:val="0055508E"/>
    <w:rsid w:val="005655A7"/>
    <w:rsid w:val="005756FE"/>
    <w:rsid w:val="00582F4F"/>
    <w:rsid w:val="0059538D"/>
    <w:rsid w:val="005A2AFA"/>
    <w:rsid w:val="005B13F2"/>
    <w:rsid w:val="005D5EA4"/>
    <w:rsid w:val="005E7C4E"/>
    <w:rsid w:val="005F096B"/>
    <w:rsid w:val="00600025"/>
    <w:rsid w:val="00600080"/>
    <w:rsid w:val="00617062"/>
    <w:rsid w:val="00625846"/>
    <w:rsid w:val="00627748"/>
    <w:rsid w:val="0063125C"/>
    <w:rsid w:val="0067048B"/>
    <w:rsid w:val="006A6451"/>
    <w:rsid w:val="006D122A"/>
    <w:rsid w:val="006E0F10"/>
    <w:rsid w:val="006E18EB"/>
    <w:rsid w:val="006E2ED1"/>
    <w:rsid w:val="006E2FC6"/>
    <w:rsid w:val="006E3934"/>
    <w:rsid w:val="006F6829"/>
    <w:rsid w:val="006F6ACF"/>
    <w:rsid w:val="00734A3C"/>
    <w:rsid w:val="0073591D"/>
    <w:rsid w:val="00763AE8"/>
    <w:rsid w:val="0078413E"/>
    <w:rsid w:val="007B527A"/>
    <w:rsid w:val="007D0527"/>
    <w:rsid w:val="007E38F2"/>
    <w:rsid w:val="00807FBF"/>
    <w:rsid w:val="00814E84"/>
    <w:rsid w:val="00817272"/>
    <w:rsid w:val="00831E92"/>
    <w:rsid w:val="008427FD"/>
    <w:rsid w:val="00850595"/>
    <w:rsid w:val="008818D4"/>
    <w:rsid w:val="00881A5E"/>
    <w:rsid w:val="00884EB6"/>
    <w:rsid w:val="008E6E19"/>
    <w:rsid w:val="008E7BE7"/>
    <w:rsid w:val="008F030D"/>
    <w:rsid w:val="008F0F2B"/>
    <w:rsid w:val="0090211F"/>
    <w:rsid w:val="0090655D"/>
    <w:rsid w:val="009143E9"/>
    <w:rsid w:val="00915F69"/>
    <w:rsid w:val="009176C3"/>
    <w:rsid w:val="009319E6"/>
    <w:rsid w:val="0094744B"/>
    <w:rsid w:val="0095763E"/>
    <w:rsid w:val="0096305D"/>
    <w:rsid w:val="0096344D"/>
    <w:rsid w:val="00987A93"/>
    <w:rsid w:val="009C7B89"/>
    <w:rsid w:val="009E0208"/>
    <w:rsid w:val="009F584E"/>
    <w:rsid w:val="00A13A27"/>
    <w:rsid w:val="00A17A52"/>
    <w:rsid w:val="00A2262C"/>
    <w:rsid w:val="00A42BFF"/>
    <w:rsid w:val="00A54232"/>
    <w:rsid w:val="00A56B44"/>
    <w:rsid w:val="00A771A4"/>
    <w:rsid w:val="00AB6B4F"/>
    <w:rsid w:val="00AB7170"/>
    <w:rsid w:val="00AD3BE7"/>
    <w:rsid w:val="00AD5561"/>
    <w:rsid w:val="00B14DBF"/>
    <w:rsid w:val="00B16CC0"/>
    <w:rsid w:val="00B37AAE"/>
    <w:rsid w:val="00B417B7"/>
    <w:rsid w:val="00B41DFF"/>
    <w:rsid w:val="00B42A01"/>
    <w:rsid w:val="00B43CFE"/>
    <w:rsid w:val="00B70218"/>
    <w:rsid w:val="00B93072"/>
    <w:rsid w:val="00BA1F2A"/>
    <w:rsid w:val="00BA6FDE"/>
    <w:rsid w:val="00BC5D52"/>
    <w:rsid w:val="00BC6FF6"/>
    <w:rsid w:val="00C134D5"/>
    <w:rsid w:val="00C201EC"/>
    <w:rsid w:val="00C241B7"/>
    <w:rsid w:val="00C3322F"/>
    <w:rsid w:val="00C64A5D"/>
    <w:rsid w:val="00C744DE"/>
    <w:rsid w:val="00C77DA0"/>
    <w:rsid w:val="00C87926"/>
    <w:rsid w:val="00CA0ECF"/>
    <w:rsid w:val="00CB424D"/>
    <w:rsid w:val="00CC6D92"/>
    <w:rsid w:val="00CC76B6"/>
    <w:rsid w:val="00CC7909"/>
    <w:rsid w:val="00CF3314"/>
    <w:rsid w:val="00D538F7"/>
    <w:rsid w:val="00D77BE0"/>
    <w:rsid w:val="00D80A7E"/>
    <w:rsid w:val="00D83C91"/>
    <w:rsid w:val="00D90DA0"/>
    <w:rsid w:val="00DA2E8F"/>
    <w:rsid w:val="00DA6B6F"/>
    <w:rsid w:val="00DB6A18"/>
    <w:rsid w:val="00DD5F78"/>
    <w:rsid w:val="00DE33BD"/>
    <w:rsid w:val="00E1584C"/>
    <w:rsid w:val="00E21473"/>
    <w:rsid w:val="00E343EC"/>
    <w:rsid w:val="00E56D49"/>
    <w:rsid w:val="00E601BE"/>
    <w:rsid w:val="00E815DF"/>
    <w:rsid w:val="00E84F39"/>
    <w:rsid w:val="00E87371"/>
    <w:rsid w:val="00E94C9A"/>
    <w:rsid w:val="00EB130E"/>
    <w:rsid w:val="00ED0941"/>
    <w:rsid w:val="00ED4ADF"/>
    <w:rsid w:val="00F04DEE"/>
    <w:rsid w:val="00F20BED"/>
    <w:rsid w:val="00F24968"/>
    <w:rsid w:val="00F312BA"/>
    <w:rsid w:val="00F41D27"/>
    <w:rsid w:val="00F44136"/>
    <w:rsid w:val="00F45ECE"/>
    <w:rsid w:val="00F46912"/>
    <w:rsid w:val="00F7218F"/>
    <w:rsid w:val="00F778B3"/>
    <w:rsid w:val="00F85AF9"/>
    <w:rsid w:val="00FA1012"/>
    <w:rsid w:val="00FB0E9E"/>
    <w:rsid w:val="00FC6FAC"/>
    <w:rsid w:val="00FE1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FDAA5D9"/>
  <w15:docId w15:val="{ECC6F867-0C81-4FFC-A0A4-BED173F3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qFormat/>
    <w:rsid w:val="0078413E"/>
    <w:pPr>
      <w:keepNext/>
      <w:pBdr>
        <w:top w:val="single" w:sz="48" w:space="7" w:color="9A4D9E"/>
        <w:left w:val="single" w:sz="48" w:space="4" w:color="9A4D9E"/>
        <w:bottom w:val="single" w:sz="48" w:space="7" w:color="9A4D9E"/>
        <w:right w:val="single" w:sz="48" w:space="7" w:color="9A4D9E"/>
      </w:pBdr>
      <w:shd w:val="clear" w:color="auto" w:fill="9A4D9E"/>
      <w:spacing w:after="0" w:line="336" w:lineRule="atLeast"/>
      <w:ind w:left="-28" w:right="295" w:firstLine="14"/>
      <w:outlineLvl w:val="0"/>
    </w:pPr>
    <w:rPr>
      <w:rFonts w:ascii="Tahoma" w:eastAsia="Times New Roman" w:hAnsi="Tahoma" w:cs="Arial"/>
      <w:bCs/>
      <w:color w:val="FFFFFF"/>
      <w:kern w:val="32"/>
      <w:sz w:val="28"/>
      <w:szCs w:val="32"/>
      <w:lang w:eastAsia="en-GB"/>
    </w:rPr>
  </w:style>
  <w:style w:type="paragraph" w:styleId="Heading4">
    <w:name w:val="heading 4"/>
    <w:basedOn w:val="Normal"/>
    <w:next w:val="Normal"/>
    <w:link w:val="Heading4Char"/>
    <w:uiPriority w:val="9"/>
    <w:semiHidden/>
    <w:unhideWhenUsed/>
    <w:qFormat/>
    <w:rsid w:val="007841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413E"/>
    <w:rPr>
      <w:rFonts w:ascii="Tahoma" w:eastAsia="Times New Roman" w:hAnsi="Tahoma" w:cs="Arial"/>
      <w:bCs/>
      <w:color w:val="FFFFFF"/>
      <w:kern w:val="32"/>
      <w:sz w:val="28"/>
      <w:szCs w:val="32"/>
      <w:shd w:val="clear" w:color="auto" w:fill="9A4D9E"/>
      <w:lang w:eastAsia="en-GB"/>
    </w:rPr>
  </w:style>
  <w:style w:type="character" w:customStyle="1" w:styleId="Heading4Char">
    <w:name w:val="Heading 4 Char"/>
    <w:basedOn w:val="DefaultParagraphFont"/>
    <w:link w:val="Heading4"/>
    <w:uiPriority w:val="9"/>
    <w:semiHidden/>
    <w:rsid w:val="0078413E"/>
    <w:rPr>
      <w:rFonts w:asciiTheme="majorHAnsi" w:eastAsiaTheme="majorEastAsia" w:hAnsiTheme="majorHAnsi" w:cstheme="majorBidi"/>
      <w:i/>
      <w:iCs/>
      <w:color w:val="2E74B5" w:themeColor="accent1" w:themeShade="BF"/>
    </w:rPr>
  </w:style>
  <w:style w:type="table" w:styleId="TableGrid">
    <w:name w:val="Table Grid"/>
    <w:basedOn w:val="TableNormal"/>
    <w:rsid w:val="0078413E"/>
    <w:pPr>
      <w:spacing w:after="0" w:line="300" w:lineRule="atLeas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Dot pt,No Spacing1,List Paragraph Char Char Char,Indicator Text,Numbered Para 1,List Paragraph1,Bullet 1,Bullet Points,MAIN CONTENT,List Paragraph12,List Para,SEC Bullet Point,Bullet 1CxSpLast"/>
    <w:basedOn w:val="Normal"/>
    <w:link w:val="ListParagraphChar"/>
    <w:uiPriority w:val="34"/>
    <w:qFormat/>
    <w:rsid w:val="003F721E"/>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FA1012"/>
  </w:style>
  <w:style w:type="paragraph" w:styleId="CommentText">
    <w:name w:val="annotation text"/>
    <w:basedOn w:val="Normal"/>
    <w:link w:val="CommentTextChar"/>
    <w:uiPriority w:val="99"/>
    <w:unhideWhenUsed/>
    <w:rsid w:val="00CB424D"/>
    <w:pPr>
      <w:spacing w:line="240" w:lineRule="auto"/>
    </w:pPr>
    <w:rPr>
      <w:sz w:val="20"/>
      <w:szCs w:val="20"/>
    </w:rPr>
  </w:style>
  <w:style w:type="character" w:customStyle="1" w:styleId="CommentTextChar">
    <w:name w:val="Comment Text Char"/>
    <w:basedOn w:val="DefaultParagraphFont"/>
    <w:link w:val="CommentText"/>
    <w:uiPriority w:val="99"/>
    <w:rsid w:val="00CB424D"/>
    <w:rPr>
      <w:sz w:val="20"/>
      <w:szCs w:val="20"/>
    </w:rPr>
  </w:style>
  <w:style w:type="table" w:customStyle="1" w:styleId="TableGrid4">
    <w:name w:val="Table Grid4"/>
    <w:basedOn w:val="TableNormal"/>
    <w:next w:val="TableGrid"/>
    <w:uiPriority w:val="59"/>
    <w:rsid w:val="00DB6A18"/>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3F33"/>
    <w:rPr>
      <w:sz w:val="16"/>
      <w:szCs w:val="16"/>
    </w:rPr>
  </w:style>
  <w:style w:type="paragraph" w:styleId="CommentSubject">
    <w:name w:val="annotation subject"/>
    <w:basedOn w:val="CommentText"/>
    <w:next w:val="CommentText"/>
    <w:link w:val="CommentSubjectChar"/>
    <w:uiPriority w:val="99"/>
    <w:semiHidden/>
    <w:unhideWhenUsed/>
    <w:rsid w:val="002D3F33"/>
    <w:rPr>
      <w:b/>
      <w:bCs/>
    </w:rPr>
  </w:style>
  <w:style w:type="character" w:customStyle="1" w:styleId="CommentSubjectChar">
    <w:name w:val="Comment Subject Char"/>
    <w:basedOn w:val="CommentTextChar"/>
    <w:link w:val="CommentSubject"/>
    <w:uiPriority w:val="99"/>
    <w:semiHidden/>
    <w:rsid w:val="002D3F33"/>
    <w:rPr>
      <w:b/>
      <w:bCs/>
      <w:sz w:val="20"/>
      <w:szCs w:val="20"/>
    </w:rPr>
  </w:style>
  <w:style w:type="paragraph" w:styleId="BalloonText">
    <w:name w:val="Balloon Text"/>
    <w:basedOn w:val="Normal"/>
    <w:link w:val="BalloonTextChar"/>
    <w:uiPriority w:val="99"/>
    <w:semiHidden/>
    <w:unhideWhenUsed/>
    <w:rsid w:val="002D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F33"/>
    <w:rPr>
      <w:rFonts w:ascii="Segoe UI" w:hAnsi="Segoe UI" w:cs="Segoe UI"/>
      <w:sz w:val="18"/>
      <w:szCs w:val="18"/>
    </w:rPr>
  </w:style>
  <w:style w:type="paragraph" w:styleId="Header">
    <w:name w:val="header"/>
    <w:basedOn w:val="Normal"/>
    <w:link w:val="HeaderChar"/>
    <w:uiPriority w:val="99"/>
    <w:unhideWhenUsed/>
    <w:rsid w:val="009319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9E6"/>
  </w:style>
  <w:style w:type="paragraph" w:styleId="Footer">
    <w:name w:val="footer"/>
    <w:basedOn w:val="Normal"/>
    <w:link w:val="FooterChar"/>
    <w:uiPriority w:val="99"/>
    <w:unhideWhenUsed/>
    <w:rsid w:val="009319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9E6"/>
  </w:style>
  <w:style w:type="paragraph" w:styleId="FootnoteText">
    <w:name w:val="footnote text"/>
    <w:basedOn w:val="Normal"/>
    <w:link w:val="FootnoteTextChar"/>
    <w:uiPriority w:val="99"/>
    <w:semiHidden/>
    <w:unhideWhenUsed/>
    <w:rsid w:val="006E39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934"/>
    <w:rPr>
      <w:sz w:val="20"/>
      <w:szCs w:val="20"/>
    </w:rPr>
  </w:style>
  <w:style w:type="character" w:styleId="FootnoteReference">
    <w:name w:val="footnote reference"/>
    <w:basedOn w:val="DefaultParagraphFont"/>
    <w:uiPriority w:val="99"/>
    <w:semiHidden/>
    <w:unhideWhenUsed/>
    <w:rsid w:val="006E3934"/>
    <w:rPr>
      <w:vertAlign w:val="superscript"/>
    </w:rPr>
  </w:style>
  <w:style w:type="paragraph" w:customStyle="1" w:styleId="Default">
    <w:name w:val="Default"/>
    <w:rsid w:val="00283B6A"/>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uiPriority w:val="99"/>
    <w:unhideWhenUsed/>
    <w:rsid w:val="00040078"/>
    <w:pPr>
      <w:numPr>
        <w:numId w:val="18"/>
      </w:numPr>
      <w:contextualSpacing/>
    </w:pPr>
  </w:style>
  <w:style w:type="character" w:styleId="Hyperlink">
    <w:name w:val="Hyperlink"/>
    <w:basedOn w:val="DefaultParagraphFont"/>
    <w:uiPriority w:val="99"/>
    <w:unhideWhenUsed/>
    <w:rsid w:val="00502340"/>
    <w:rPr>
      <w:color w:val="0563C1" w:themeColor="hyperlink"/>
      <w:u w:val="single"/>
    </w:rPr>
  </w:style>
  <w:style w:type="character" w:styleId="FollowedHyperlink">
    <w:name w:val="FollowedHyperlink"/>
    <w:basedOn w:val="DefaultParagraphFont"/>
    <w:uiPriority w:val="99"/>
    <w:semiHidden/>
    <w:unhideWhenUsed/>
    <w:rsid w:val="00502B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1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cusa.co.uk/DCUSA%20Document%20Public%20Version/Schedule%208%20v8.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FE54C-28D4-410B-8E11-454F9B688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Browne</dc:creator>
  <cp:keywords/>
  <dc:description/>
  <cp:lastModifiedBy>Sam Browne</cp:lastModifiedBy>
  <cp:revision>2</cp:revision>
  <dcterms:created xsi:type="dcterms:W3CDTF">2017-07-12T07:52:00Z</dcterms:created>
  <dcterms:modified xsi:type="dcterms:W3CDTF">2017-07-12T07:52:00Z</dcterms:modified>
</cp:coreProperties>
</file>