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D814" w14:textId="2065D7BB" w:rsidR="003423F3" w:rsidRDefault="003423F3" w:rsidP="003423F3">
      <w:pPr>
        <w:pStyle w:val="SECPaperTitle"/>
        <w:spacing w:before="0" w:after="240"/>
        <w:rPr>
          <w:sz w:val="30"/>
          <w:szCs w:val="30"/>
        </w:rPr>
      </w:pPr>
      <w:r>
        <w:rPr>
          <w:noProof/>
          <w:lang w:eastAsia="en-GB"/>
        </w:rPr>
        <mc:AlternateContent>
          <mc:Choice Requires="wps">
            <w:drawing>
              <wp:anchor distT="45720" distB="45720" distL="114300" distR="114300" simplePos="0" relativeHeight="251661312" behindDoc="0" locked="0" layoutInCell="1" allowOverlap="1" wp14:anchorId="471CF36B" wp14:editId="3CB33433">
                <wp:simplePos x="0" y="0"/>
                <wp:positionH relativeFrom="margin">
                  <wp:align>left</wp:align>
                </wp:positionH>
                <wp:positionV relativeFrom="paragraph">
                  <wp:posOffset>0</wp:posOffset>
                </wp:positionV>
                <wp:extent cx="5770880" cy="4667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66725"/>
                        </a:xfrm>
                        <a:prstGeom prst="rect">
                          <a:avLst/>
                        </a:prstGeom>
                        <a:solidFill>
                          <a:srgbClr val="FFFFFF"/>
                        </a:solidFill>
                        <a:ln w="9525">
                          <a:solidFill>
                            <a:srgbClr val="000000"/>
                          </a:solidFill>
                          <a:miter lim="800000"/>
                          <a:headEnd/>
                          <a:tailEnd/>
                        </a:ln>
                      </wps:spPr>
                      <wps:txb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CF36B" id="_x0000_t202" coordsize="21600,21600" o:spt="202" path="m,l,21600r21600,l21600,xe">
                <v:stroke joinstyle="miter"/>
                <v:path gradientshapeok="t" o:connecttype="rect"/>
              </v:shapetype>
              <v:shape id="Text Box 2" o:spid="_x0000_s1026" type="#_x0000_t202" style="position:absolute;left:0;text-align:left;margin-left:0;margin-top:0;width:454.4pt;height:3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">
                <v:textbo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v:textbox>
                <w10:wrap type="square" anchorx="margin"/>
              </v:shape>
            </w:pict>
          </mc:Fallback>
        </mc:AlternateContent>
      </w:r>
      <w:r w:rsidR="00A1169C">
        <w:rPr>
          <w:noProof/>
          <w:lang w:eastAsia="en-GB"/>
        </w:rPr>
        <w:t>MP</w:t>
      </w:r>
      <w:r w:rsidR="00F64567">
        <w:rPr>
          <w:noProof/>
          <w:lang w:eastAsia="en-GB"/>
        </w:rPr>
        <w:t>096</w:t>
      </w:r>
      <w:r>
        <w:rPr>
          <w:sz w:val="30"/>
          <w:szCs w:val="30"/>
        </w:rPr>
        <w:t xml:space="preserve"> ‘</w:t>
      </w:r>
      <w:r w:rsidR="00F64567">
        <w:rPr>
          <w:sz w:val="30"/>
          <w:szCs w:val="30"/>
        </w:rPr>
        <w:t>DNO Power Outage Alerts</w:t>
      </w:r>
      <w:r w:rsidR="00A1169C">
        <w:rPr>
          <w:sz w:val="30"/>
          <w:szCs w:val="30"/>
        </w:rPr>
        <w:t>’</w:t>
      </w:r>
    </w:p>
    <w:p w14:paraId="4AF16256" w14:textId="62566FF4" w:rsidR="00B13710" w:rsidRDefault="007614BB" w:rsidP="00B13710">
      <w:pPr>
        <w:pStyle w:val="SECPaperTitle"/>
        <w:spacing w:before="0" w:after="240"/>
        <w:rPr>
          <w:sz w:val="30"/>
          <w:szCs w:val="30"/>
        </w:rPr>
      </w:pPr>
      <w:r>
        <w:rPr>
          <w:sz w:val="30"/>
          <w:szCs w:val="30"/>
        </w:rPr>
        <w:t>June</w:t>
      </w:r>
      <w:r w:rsidR="003B12CA">
        <w:rPr>
          <w:sz w:val="30"/>
          <w:szCs w:val="30"/>
        </w:rPr>
        <w:t xml:space="preserve"> 2021</w:t>
      </w:r>
      <w:r w:rsidR="00B13710">
        <w:rPr>
          <w:sz w:val="30"/>
          <w:szCs w:val="30"/>
        </w:rPr>
        <w:t xml:space="preserve"> </w:t>
      </w:r>
      <w:r w:rsidR="003423F3">
        <w:rPr>
          <w:sz w:val="30"/>
          <w:szCs w:val="30"/>
        </w:rPr>
        <w:t xml:space="preserve">Working Group </w:t>
      </w:r>
      <w:r w:rsidR="000C423C">
        <w:rPr>
          <w:sz w:val="30"/>
          <w:szCs w:val="30"/>
        </w:rPr>
        <w:t xml:space="preserve">– </w:t>
      </w:r>
      <w:r w:rsidR="002A76CA">
        <w:rPr>
          <w:sz w:val="30"/>
          <w:szCs w:val="30"/>
        </w:rPr>
        <w:t>me</w:t>
      </w:r>
      <w:r w:rsidR="003423F3" w:rsidRPr="008E76FA">
        <w:rPr>
          <w:sz w:val="30"/>
          <w:szCs w:val="30"/>
        </w:rPr>
        <w:t>eting</w:t>
      </w:r>
      <w:r w:rsidR="002A76CA">
        <w:rPr>
          <w:sz w:val="30"/>
          <w:szCs w:val="30"/>
        </w:rPr>
        <w:t xml:space="preserve"> summary</w:t>
      </w:r>
    </w:p>
    <w:p w14:paraId="7F4D4C9A" w14:textId="77777777" w:rsidR="00E52377" w:rsidRDefault="00564EBA" w:rsidP="00F556BC">
      <w:pPr>
        <w:pStyle w:val="Subtitle"/>
      </w:pPr>
      <w:r>
        <w:t>Attendees</w:t>
      </w:r>
    </w:p>
    <w:tbl>
      <w:tblPr>
        <w:tblStyle w:val="TableGrid11"/>
        <w:tblW w:w="2906" w:type="pct"/>
        <w:jc w:val="center"/>
        <w:tblInd w:w="0" w:type="dxa"/>
        <w:tblLook w:val="04A0" w:firstRow="1" w:lastRow="0" w:firstColumn="1" w:lastColumn="0" w:noHBand="0" w:noVBand="1"/>
      </w:tblPr>
      <w:tblGrid>
        <w:gridCol w:w="2620"/>
        <w:gridCol w:w="2620"/>
      </w:tblGrid>
      <w:tr w:rsidR="00E52377" w14:paraId="029433A5" w14:textId="77777777" w:rsidTr="00C27C3D">
        <w:trPr>
          <w:trHeight w:val="514"/>
          <w:jc w:val="center"/>
        </w:trPr>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5380AE0C" w14:textId="77777777" w:rsidR="00E52377" w:rsidRDefault="00E52377" w:rsidP="00C27C3D">
            <w:pPr>
              <w:jc w:val="center"/>
              <w:rPr>
                <w:rFonts w:cs="Arial"/>
                <w:b/>
                <w:color w:val="FFFFFF"/>
                <w:lang w:eastAsia="en-GB"/>
              </w:rPr>
            </w:pPr>
            <w:r>
              <w:rPr>
                <w:rFonts w:cs="Arial"/>
                <w:b/>
                <w:color w:val="FFFFFF"/>
                <w:lang w:eastAsia="en-GB"/>
              </w:rPr>
              <w:t>Attendee</w:t>
            </w:r>
          </w:p>
        </w:tc>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0AA1F72D" w14:textId="77777777" w:rsidR="00E52377" w:rsidRDefault="00E52377" w:rsidP="00C27C3D">
            <w:pPr>
              <w:jc w:val="center"/>
              <w:rPr>
                <w:rFonts w:cs="Arial"/>
                <w:b/>
                <w:color w:val="FFFFFF"/>
                <w:lang w:eastAsia="en-GB"/>
              </w:rPr>
            </w:pPr>
            <w:r>
              <w:rPr>
                <w:rFonts w:cs="Arial"/>
                <w:b/>
                <w:color w:val="FFFFFF"/>
                <w:lang w:eastAsia="en-GB"/>
              </w:rPr>
              <w:t>Organisation</w:t>
            </w:r>
          </w:p>
        </w:tc>
      </w:tr>
      <w:tr w:rsidR="00E52377" w14:paraId="28208D2B"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A8E008F" w14:textId="77777777" w:rsidR="00E52377" w:rsidRPr="009117E5" w:rsidRDefault="00E52377" w:rsidP="00C27C3D">
            <w:pPr>
              <w:spacing w:before="30" w:after="30"/>
              <w:rPr>
                <w:rFonts w:eastAsia="Calibri" w:cs="Arial"/>
                <w:color w:val="404040"/>
                <w:szCs w:val="20"/>
                <w:lang w:eastAsia="en-GB"/>
              </w:rPr>
            </w:pPr>
            <w:r w:rsidRPr="009117E5">
              <w:rPr>
                <w:rFonts w:eastAsia="Calibri" w:cs="Arial"/>
                <w:color w:val="404040"/>
                <w:szCs w:val="20"/>
                <w:lang w:eastAsia="en-GB"/>
              </w:rPr>
              <w:t>Ali Beard</w:t>
            </w:r>
          </w:p>
        </w:tc>
        <w:tc>
          <w:tcPr>
            <w:tcW w:w="2500" w:type="pct"/>
            <w:tcBorders>
              <w:top w:val="single" w:sz="4" w:space="0" w:color="auto"/>
              <w:left w:val="single" w:sz="4" w:space="0" w:color="auto"/>
              <w:bottom w:val="single" w:sz="4" w:space="0" w:color="auto"/>
              <w:right w:val="single" w:sz="4" w:space="0" w:color="auto"/>
            </w:tcBorders>
            <w:hideMark/>
          </w:tcPr>
          <w:p w14:paraId="04B82999" w14:textId="77777777" w:rsidR="00E52377" w:rsidRPr="009117E5" w:rsidRDefault="00E52377" w:rsidP="00C27C3D">
            <w:pPr>
              <w:spacing w:before="30" w:after="30"/>
              <w:rPr>
                <w:rFonts w:eastAsia="Calibri" w:cs="Times New Roman"/>
                <w:color w:val="404040"/>
                <w:lang w:eastAsia="en-GB"/>
              </w:rPr>
            </w:pPr>
            <w:r w:rsidRPr="009117E5">
              <w:rPr>
                <w:rFonts w:eastAsia="Calibri" w:cs="Times New Roman"/>
                <w:color w:val="404040"/>
                <w:lang w:eastAsia="en-GB"/>
              </w:rPr>
              <w:t>SECAS</w:t>
            </w:r>
          </w:p>
        </w:tc>
      </w:tr>
      <w:tr w:rsidR="00E52377" w14:paraId="22D1271E"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3D476DB" w14:textId="77777777" w:rsidR="00E52377" w:rsidRPr="009117E5" w:rsidRDefault="00E52377" w:rsidP="00C27C3D">
            <w:pPr>
              <w:spacing w:before="30" w:after="30"/>
              <w:rPr>
                <w:rFonts w:eastAsia="Calibri" w:cs="Arial"/>
                <w:color w:val="404040"/>
                <w:szCs w:val="20"/>
                <w:lang w:eastAsia="en-GB"/>
              </w:rPr>
            </w:pPr>
            <w:r w:rsidRPr="009117E5">
              <w:rPr>
                <w:rFonts w:eastAsia="Calibri" w:cs="Arial"/>
                <w:color w:val="404040"/>
                <w:szCs w:val="20"/>
                <w:lang w:eastAsia="en-GB"/>
              </w:rPr>
              <w:t>Holly Burton</w:t>
            </w:r>
          </w:p>
        </w:tc>
        <w:tc>
          <w:tcPr>
            <w:tcW w:w="2500" w:type="pct"/>
            <w:tcBorders>
              <w:top w:val="single" w:sz="4" w:space="0" w:color="auto"/>
              <w:left w:val="single" w:sz="4" w:space="0" w:color="auto"/>
              <w:bottom w:val="single" w:sz="4" w:space="0" w:color="auto"/>
              <w:right w:val="single" w:sz="4" w:space="0" w:color="auto"/>
            </w:tcBorders>
            <w:hideMark/>
          </w:tcPr>
          <w:p w14:paraId="08E0600A" w14:textId="77777777" w:rsidR="00E52377" w:rsidRPr="009117E5" w:rsidRDefault="00E52377" w:rsidP="00C27C3D">
            <w:pPr>
              <w:spacing w:before="30" w:after="30"/>
              <w:rPr>
                <w:rFonts w:eastAsia="Calibri" w:cs="Times New Roman"/>
                <w:color w:val="404040"/>
                <w:lang w:eastAsia="en-GB"/>
              </w:rPr>
            </w:pPr>
            <w:r w:rsidRPr="009117E5">
              <w:rPr>
                <w:rFonts w:eastAsia="Calibri" w:cs="Times New Roman"/>
                <w:color w:val="404040"/>
                <w:lang w:eastAsia="en-GB"/>
              </w:rPr>
              <w:t>SECAS</w:t>
            </w:r>
          </w:p>
        </w:tc>
      </w:tr>
      <w:tr w:rsidR="00E52377" w14:paraId="5BDC214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CD66850"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Harry Jones</w:t>
            </w:r>
          </w:p>
        </w:tc>
        <w:tc>
          <w:tcPr>
            <w:tcW w:w="2500" w:type="pct"/>
            <w:tcBorders>
              <w:top w:val="single" w:sz="4" w:space="0" w:color="auto"/>
              <w:left w:val="single" w:sz="4" w:space="0" w:color="auto"/>
              <w:bottom w:val="single" w:sz="4" w:space="0" w:color="auto"/>
              <w:right w:val="single" w:sz="4" w:space="0" w:color="auto"/>
            </w:tcBorders>
            <w:hideMark/>
          </w:tcPr>
          <w:p w14:paraId="586CAAAA"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0DF50F3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6F5CC15"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Bradley Baker</w:t>
            </w:r>
          </w:p>
        </w:tc>
        <w:tc>
          <w:tcPr>
            <w:tcW w:w="2500" w:type="pct"/>
            <w:tcBorders>
              <w:top w:val="single" w:sz="4" w:space="0" w:color="auto"/>
              <w:left w:val="single" w:sz="4" w:space="0" w:color="auto"/>
              <w:bottom w:val="single" w:sz="4" w:space="0" w:color="auto"/>
              <w:right w:val="single" w:sz="4" w:space="0" w:color="auto"/>
            </w:tcBorders>
            <w:hideMark/>
          </w:tcPr>
          <w:p w14:paraId="3EA2FDF2"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1AFF8C4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D55BD2D"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Joe Hehir</w:t>
            </w:r>
          </w:p>
        </w:tc>
        <w:tc>
          <w:tcPr>
            <w:tcW w:w="2500" w:type="pct"/>
            <w:tcBorders>
              <w:top w:val="single" w:sz="4" w:space="0" w:color="auto"/>
              <w:left w:val="single" w:sz="4" w:space="0" w:color="auto"/>
              <w:bottom w:val="single" w:sz="4" w:space="0" w:color="auto"/>
              <w:right w:val="single" w:sz="4" w:space="0" w:color="auto"/>
            </w:tcBorders>
          </w:tcPr>
          <w:p w14:paraId="2D47150E"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SECAS</w:t>
            </w:r>
          </w:p>
        </w:tc>
      </w:tr>
      <w:tr w:rsidR="00E52377" w14:paraId="40AB528C"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8B589F6"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Kev Duddy</w:t>
            </w:r>
          </w:p>
        </w:tc>
        <w:tc>
          <w:tcPr>
            <w:tcW w:w="2500" w:type="pct"/>
            <w:tcBorders>
              <w:top w:val="single" w:sz="4" w:space="0" w:color="auto"/>
              <w:left w:val="single" w:sz="4" w:space="0" w:color="auto"/>
              <w:bottom w:val="single" w:sz="4" w:space="0" w:color="auto"/>
              <w:right w:val="single" w:sz="4" w:space="0" w:color="auto"/>
            </w:tcBorders>
            <w:hideMark/>
          </w:tcPr>
          <w:p w14:paraId="477A7A1C"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22D57AA3"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78A9E8D"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Piers Garton</w:t>
            </w:r>
          </w:p>
        </w:tc>
        <w:tc>
          <w:tcPr>
            <w:tcW w:w="2500" w:type="pct"/>
            <w:tcBorders>
              <w:top w:val="single" w:sz="4" w:space="0" w:color="auto"/>
              <w:left w:val="single" w:sz="4" w:space="0" w:color="auto"/>
              <w:bottom w:val="single" w:sz="4" w:space="0" w:color="auto"/>
              <w:right w:val="single" w:sz="4" w:space="0" w:color="auto"/>
            </w:tcBorders>
          </w:tcPr>
          <w:p w14:paraId="6BF14AF5"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SECAS</w:t>
            </w:r>
          </w:p>
        </w:tc>
      </w:tr>
      <w:tr w:rsidR="00E52377" w14:paraId="536038F2"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2CE8CC3"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Joey Manners</w:t>
            </w:r>
            <w:r>
              <w:rPr>
                <w:rFonts w:cs="Arial"/>
                <w:color w:val="404040"/>
                <w:szCs w:val="20"/>
                <w:lang w:eastAsia="en-GB"/>
              </w:rPr>
              <w:t xml:space="preserve"> </w:t>
            </w:r>
          </w:p>
        </w:tc>
        <w:tc>
          <w:tcPr>
            <w:tcW w:w="2500" w:type="pct"/>
            <w:tcBorders>
              <w:top w:val="single" w:sz="4" w:space="0" w:color="auto"/>
              <w:left w:val="single" w:sz="4" w:space="0" w:color="auto"/>
              <w:bottom w:val="single" w:sz="4" w:space="0" w:color="auto"/>
              <w:right w:val="single" w:sz="4" w:space="0" w:color="auto"/>
            </w:tcBorders>
            <w:hideMark/>
          </w:tcPr>
          <w:p w14:paraId="78FB14F7"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07E61C9C"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D758770"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Sasha Townsend</w:t>
            </w:r>
          </w:p>
        </w:tc>
        <w:tc>
          <w:tcPr>
            <w:tcW w:w="2500" w:type="pct"/>
            <w:tcBorders>
              <w:top w:val="single" w:sz="4" w:space="0" w:color="auto"/>
              <w:left w:val="single" w:sz="4" w:space="0" w:color="auto"/>
              <w:bottom w:val="single" w:sz="4" w:space="0" w:color="auto"/>
              <w:right w:val="single" w:sz="4" w:space="0" w:color="auto"/>
            </w:tcBorders>
            <w:hideMark/>
          </w:tcPr>
          <w:p w14:paraId="10D9A044"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7E07629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1E4403A"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Remi Oluwabamise</w:t>
            </w:r>
          </w:p>
        </w:tc>
        <w:tc>
          <w:tcPr>
            <w:tcW w:w="2500" w:type="pct"/>
            <w:tcBorders>
              <w:top w:val="single" w:sz="4" w:space="0" w:color="auto"/>
              <w:left w:val="single" w:sz="4" w:space="0" w:color="auto"/>
              <w:bottom w:val="single" w:sz="4" w:space="0" w:color="auto"/>
              <w:right w:val="single" w:sz="4" w:space="0" w:color="auto"/>
            </w:tcBorders>
            <w:hideMark/>
          </w:tcPr>
          <w:p w14:paraId="4C80A35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6504630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C5E7C8B"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Charlotte Semp</w:t>
            </w:r>
          </w:p>
        </w:tc>
        <w:tc>
          <w:tcPr>
            <w:tcW w:w="2500" w:type="pct"/>
            <w:tcBorders>
              <w:top w:val="single" w:sz="4" w:space="0" w:color="auto"/>
              <w:left w:val="single" w:sz="4" w:space="0" w:color="auto"/>
              <w:bottom w:val="single" w:sz="4" w:space="0" w:color="auto"/>
              <w:right w:val="single" w:sz="4" w:space="0" w:color="auto"/>
            </w:tcBorders>
            <w:hideMark/>
          </w:tcPr>
          <w:p w14:paraId="4FDCCF2A"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5E3739C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45835DF"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David Walsh</w:t>
            </w:r>
          </w:p>
        </w:tc>
        <w:tc>
          <w:tcPr>
            <w:tcW w:w="2500" w:type="pct"/>
            <w:tcBorders>
              <w:top w:val="single" w:sz="4" w:space="0" w:color="auto"/>
              <w:left w:val="single" w:sz="4" w:space="0" w:color="auto"/>
              <w:bottom w:val="single" w:sz="4" w:space="0" w:color="auto"/>
              <w:right w:val="single" w:sz="4" w:space="0" w:color="auto"/>
            </w:tcBorders>
            <w:hideMark/>
          </w:tcPr>
          <w:p w14:paraId="7717918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6539435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7AFFDEE"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Abhijit Pal</w:t>
            </w:r>
          </w:p>
        </w:tc>
        <w:tc>
          <w:tcPr>
            <w:tcW w:w="2500" w:type="pct"/>
            <w:tcBorders>
              <w:top w:val="single" w:sz="4" w:space="0" w:color="auto"/>
              <w:left w:val="single" w:sz="4" w:space="0" w:color="auto"/>
              <w:bottom w:val="single" w:sz="4" w:space="0" w:color="auto"/>
              <w:right w:val="single" w:sz="4" w:space="0" w:color="auto"/>
            </w:tcBorders>
          </w:tcPr>
          <w:p w14:paraId="05AD5241"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DCC</w:t>
            </w:r>
          </w:p>
        </w:tc>
      </w:tr>
      <w:tr w:rsidR="00E52377" w14:paraId="3934D15B"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0D8E4CD"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Lynne Hargrave</w:t>
            </w:r>
          </w:p>
        </w:tc>
        <w:tc>
          <w:tcPr>
            <w:tcW w:w="2500" w:type="pct"/>
            <w:tcBorders>
              <w:top w:val="single" w:sz="4" w:space="0" w:color="auto"/>
              <w:left w:val="single" w:sz="4" w:space="0" w:color="auto"/>
              <w:bottom w:val="single" w:sz="4" w:space="0" w:color="auto"/>
              <w:right w:val="single" w:sz="4" w:space="0" w:color="auto"/>
            </w:tcBorders>
            <w:hideMark/>
          </w:tcPr>
          <w:p w14:paraId="7BCE6CE7"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Calvin Capital</w:t>
            </w:r>
          </w:p>
        </w:tc>
      </w:tr>
      <w:tr w:rsidR="00E52377" w14:paraId="54D6E243"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3A505837"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Julie Geary</w:t>
            </w:r>
          </w:p>
        </w:tc>
        <w:tc>
          <w:tcPr>
            <w:tcW w:w="2500" w:type="pct"/>
            <w:tcBorders>
              <w:top w:val="single" w:sz="4" w:space="0" w:color="auto"/>
              <w:left w:val="single" w:sz="4" w:space="0" w:color="auto"/>
              <w:bottom w:val="single" w:sz="4" w:space="0" w:color="auto"/>
              <w:right w:val="single" w:sz="4" w:space="0" w:color="auto"/>
            </w:tcBorders>
            <w:hideMark/>
          </w:tcPr>
          <w:p w14:paraId="37550CC0"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E.ON</w:t>
            </w:r>
          </w:p>
        </w:tc>
      </w:tr>
      <w:tr w:rsidR="00E52377" w14:paraId="09A13905"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52B30D3D"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David Lyons</w:t>
            </w:r>
          </w:p>
        </w:tc>
        <w:tc>
          <w:tcPr>
            <w:tcW w:w="2500" w:type="pct"/>
            <w:tcBorders>
              <w:top w:val="single" w:sz="4" w:space="0" w:color="auto"/>
              <w:left w:val="single" w:sz="4" w:space="0" w:color="auto"/>
              <w:bottom w:val="single" w:sz="4" w:space="0" w:color="auto"/>
              <w:right w:val="single" w:sz="4" w:space="0" w:color="auto"/>
            </w:tcBorders>
          </w:tcPr>
          <w:p w14:paraId="3A0FC264"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E.ON</w:t>
            </w:r>
          </w:p>
        </w:tc>
      </w:tr>
      <w:tr w:rsidR="00E52377" w14:paraId="294995C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9151B42"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Alex Hurcombe</w:t>
            </w:r>
          </w:p>
        </w:tc>
        <w:tc>
          <w:tcPr>
            <w:tcW w:w="2500" w:type="pct"/>
            <w:tcBorders>
              <w:top w:val="single" w:sz="4" w:space="0" w:color="auto"/>
              <w:left w:val="single" w:sz="4" w:space="0" w:color="auto"/>
              <w:bottom w:val="single" w:sz="4" w:space="0" w:color="auto"/>
              <w:right w:val="single" w:sz="4" w:space="0" w:color="auto"/>
            </w:tcBorders>
            <w:hideMark/>
          </w:tcPr>
          <w:p w14:paraId="09C36D6D"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EDF Energy</w:t>
            </w:r>
          </w:p>
        </w:tc>
      </w:tr>
      <w:tr w:rsidR="00E52377" w14:paraId="0801DCB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70419CA"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Paul Saker</w:t>
            </w:r>
          </w:p>
        </w:tc>
        <w:tc>
          <w:tcPr>
            <w:tcW w:w="2500" w:type="pct"/>
            <w:tcBorders>
              <w:top w:val="single" w:sz="4" w:space="0" w:color="auto"/>
              <w:left w:val="single" w:sz="4" w:space="0" w:color="auto"/>
              <w:bottom w:val="single" w:sz="4" w:space="0" w:color="auto"/>
              <w:right w:val="single" w:sz="4" w:space="0" w:color="auto"/>
            </w:tcBorders>
          </w:tcPr>
          <w:p w14:paraId="435DFEB9"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EDF Energy</w:t>
            </w:r>
          </w:p>
        </w:tc>
      </w:tr>
      <w:tr w:rsidR="00E52377" w14:paraId="064732C6"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A7D4CB2" w14:textId="77777777" w:rsidR="00E52377" w:rsidRPr="009117E5" w:rsidRDefault="00E52377" w:rsidP="00C27C3D">
            <w:pPr>
              <w:spacing w:before="30" w:after="30"/>
              <w:rPr>
                <w:rFonts w:cs="Arial"/>
                <w:i/>
                <w:iCs/>
                <w:color w:val="404040"/>
                <w:szCs w:val="20"/>
                <w:lang w:eastAsia="en-GB"/>
              </w:rPr>
            </w:pPr>
            <w:r w:rsidRPr="009117E5">
              <w:rPr>
                <w:rFonts w:cs="Arial"/>
                <w:color w:val="404040"/>
                <w:szCs w:val="20"/>
                <w:lang w:eastAsia="en-GB"/>
              </w:rPr>
              <w:t>Alastair Cobb</w:t>
            </w:r>
            <w:r>
              <w:rPr>
                <w:rFonts w:cs="Arial"/>
                <w:color w:val="404040"/>
                <w:szCs w:val="20"/>
                <w:lang w:eastAsia="en-GB"/>
              </w:rPr>
              <w:t xml:space="preserve"> </w:t>
            </w:r>
          </w:p>
        </w:tc>
        <w:tc>
          <w:tcPr>
            <w:tcW w:w="2500" w:type="pct"/>
            <w:tcBorders>
              <w:top w:val="single" w:sz="4" w:space="0" w:color="auto"/>
              <w:left w:val="single" w:sz="4" w:space="0" w:color="auto"/>
              <w:bottom w:val="single" w:sz="4" w:space="0" w:color="auto"/>
              <w:right w:val="single" w:sz="4" w:space="0" w:color="auto"/>
            </w:tcBorders>
            <w:hideMark/>
          </w:tcPr>
          <w:p w14:paraId="43F417F0"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 xml:space="preserve">Landis + </w:t>
            </w:r>
            <w:proofErr w:type="spellStart"/>
            <w:r w:rsidRPr="009117E5">
              <w:rPr>
                <w:rFonts w:cs="Times New Roman"/>
                <w:color w:val="404040"/>
                <w:lang w:eastAsia="en-GB"/>
              </w:rPr>
              <w:t>Gyr</w:t>
            </w:r>
            <w:proofErr w:type="spellEnd"/>
          </w:p>
        </w:tc>
      </w:tr>
      <w:tr w:rsidR="00E52377" w14:paraId="568FC20F"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4738E93"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Ralph Baxter</w:t>
            </w:r>
          </w:p>
        </w:tc>
        <w:tc>
          <w:tcPr>
            <w:tcW w:w="2500" w:type="pct"/>
            <w:tcBorders>
              <w:top w:val="single" w:sz="4" w:space="0" w:color="auto"/>
              <w:left w:val="single" w:sz="4" w:space="0" w:color="auto"/>
              <w:bottom w:val="single" w:sz="4" w:space="0" w:color="auto"/>
              <w:right w:val="single" w:sz="4" w:space="0" w:color="auto"/>
            </w:tcBorders>
            <w:hideMark/>
          </w:tcPr>
          <w:p w14:paraId="10318388"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Octopus Energy</w:t>
            </w:r>
          </w:p>
        </w:tc>
      </w:tr>
      <w:tr w:rsidR="00E52377" w14:paraId="58C6E308"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414A87E"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Emslie Law</w:t>
            </w:r>
          </w:p>
        </w:tc>
        <w:tc>
          <w:tcPr>
            <w:tcW w:w="2500" w:type="pct"/>
            <w:tcBorders>
              <w:top w:val="single" w:sz="4" w:space="0" w:color="auto"/>
              <w:left w:val="single" w:sz="4" w:space="0" w:color="auto"/>
              <w:bottom w:val="single" w:sz="4" w:space="0" w:color="auto"/>
              <w:right w:val="single" w:sz="4" w:space="0" w:color="auto"/>
            </w:tcBorders>
            <w:hideMark/>
          </w:tcPr>
          <w:p w14:paraId="0790CAF6"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OVO Energy</w:t>
            </w:r>
          </w:p>
        </w:tc>
      </w:tr>
      <w:tr w:rsidR="00E52377" w14:paraId="0FEA9F0A"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100956D"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Mafs Rahman</w:t>
            </w:r>
          </w:p>
        </w:tc>
        <w:tc>
          <w:tcPr>
            <w:tcW w:w="2500" w:type="pct"/>
            <w:tcBorders>
              <w:top w:val="single" w:sz="4" w:space="0" w:color="auto"/>
              <w:left w:val="single" w:sz="4" w:space="0" w:color="auto"/>
              <w:bottom w:val="single" w:sz="4" w:space="0" w:color="auto"/>
              <w:right w:val="single" w:sz="4" w:space="0" w:color="auto"/>
            </w:tcBorders>
            <w:hideMark/>
          </w:tcPr>
          <w:p w14:paraId="6E71698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Scottish Power</w:t>
            </w:r>
          </w:p>
        </w:tc>
      </w:tr>
      <w:tr w:rsidR="00E52377" w14:paraId="42F448A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36E3F642"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Elias Hanna</w:t>
            </w:r>
          </w:p>
        </w:tc>
        <w:tc>
          <w:tcPr>
            <w:tcW w:w="2500" w:type="pct"/>
            <w:tcBorders>
              <w:top w:val="single" w:sz="4" w:space="0" w:color="auto"/>
              <w:left w:val="single" w:sz="4" w:space="0" w:color="auto"/>
              <w:bottom w:val="single" w:sz="4" w:space="0" w:color="auto"/>
              <w:right w:val="single" w:sz="4" w:space="0" w:color="auto"/>
            </w:tcBorders>
          </w:tcPr>
          <w:p w14:paraId="626B2195"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Smart ADSL</w:t>
            </w:r>
          </w:p>
        </w:tc>
      </w:tr>
      <w:tr w:rsidR="00E52377" w14:paraId="0AF7E2BE"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30938A8E"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Matthew Alexander</w:t>
            </w:r>
          </w:p>
        </w:tc>
        <w:tc>
          <w:tcPr>
            <w:tcW w:w="2500" w:type="pct"/>
            <w:tcBorders>
              <w:top w:val="single" w:sz="4" w:space="0" w:color="auto"/>
              <w:left w:val="single" w:sz="4" w:space="0" w:color="auto"/>
              <w:bottom w:val="single" w:sz="4" w:space="0" w:color="auto"/>
              <w:right w:val="single" w:sz="4" w:space="0" w:color="auto"/>
            </w:tcBorders>
            <w:hideMark/>
          </w:tcPr>
          <w:p w14:paraId="27372E4C"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SSEN</w:t>
            </w:r>
          </w:p>
        </w:tc>
      </w:tr>
      <w:tr w:rsidR="00E52377" w14:paraId="6F85F7A0"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62C25149"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Paul Fitzgerald</w:t>
            </w:r>
          </w:p>
        </w:tc>
        <w:tc>
          <w:tcPr>
            <w:tcW w:w="2500" w:type="pct"/>
            <w:tcBorders>
              <w:top w:val="single" w:sz="4" w:space="0" w:color="auto"/>
              <w:left w:val="single" w:sz="4" w:space="0" w:color="auto"/>
              <w:bottom w:val="single" w:sz="4" w:space="0" w:color="auto"/>
              <w:right w:val="single" w:sz="4" w:space="0" w:color="auto"/>
            </w:tcBorders>
          </w:tcPr>
          <w:p w14:paraId="53B55B8C"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SSE</w:t>
            </w:r>
          </w:p>
        </w:tc>
      </w:tr>
      <w:tr w:rsidR="00E52377" w14:paraId="1B82DC0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179B94D"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Gemma Slaney</w:t>
            </w:r>
          </w:p>
        </w:tc>
        <w:tc>
          <w:tcPr>
            <w:tcW w:w="2500" w:type="pct"/>
            <w:tcBorders>
              <w:top w:val="single" w:sz="4" w:space="0" w:color="auto"/>
              <w:left w:val="single" w:sz="4" w:space="0" w:color="auto"/>
              <w:bottom w:val="single" w:sz="4" w:space="0" w:color="auto"/>
              <w:right w:val="single" w:sz="4" w:space="0" w:color="auto"/>
            </w:tcBorders>
            <w:hideMark/>
          </w:tcPr>
          <w:p w14:paraId="35C68256"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WPD</w:t>
            </w:r>
          </w:p>
        </w:tc>
      </w:tr>
      <w:tr w:rsidR="00E52377" w14:paraId="148BA716"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6400C75"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Kelly Kinsman</w:t>
            </w:r>
          </w:p>
        </w:tc>
        <w:tc>
          <w:tcPr>
            <w:tcW w:w="2500" w:type="pct"/>
            <w:tcBorders>
              <w:top w:val="single" w:sz="4" w:space="0" w:color="auto"/>
              <w:left w:val="single" w:sz="4" w:space="0" w:color="auto"/>
              <w:bottom w:val="single" w:sz="4" w:space="0" w:color="auto"/>
              <w:right w:val="single" w:sz="4" w:space="0" w:color="auto"/>
            </w:tcBorders>
            <w:hideMark/>
          </w:tcPr>
          <w:p w14:paraId="622A870B"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W</w:t>
            </w:r>
            <w:r>
              <w:rPr>
                <w:rFonts w:cs="Times New Roman"/>
                <w:color w:val="404040"/>
                <w:lang w:eastAsia="en-GB"/>
              </w:rPr>
              <w:t>PD</w:t>
            </w:r>
          </w:p>
        </w:tc>
      </w:tr>
    </w:tbl>
    <w:p w14:paraId="5CF0E901" w14:textId="36C16BA2" w:rsidR="00E42FFB" w:rsidRDefault="00E52377" w:rsidP="00F556BC">
      <w:pPr>
        <w:pStyle w:val="Subtitle"/>
      </w:pPr>
      <w:r>
        <w:lastRenderedPageBreak/>
        <w:br/>
      </w:r>
      <w:r w:rsidR="000055AC">
        <w:t>Overview</w:t>
      </w:r>
    </w:p>
    <w:p w14:paraId="3CF41113" w14:textId="2E911EA8" w:rsidR="00E91C2A" w:rsidRDefault="00AD70B0" w:rsidP="000055AC">
      <w:r>
        <w:t xml:space="preserve">The Smart </w:t>
      </w:r>
      <w:r w:rsidR="00A001CC">
        <w:t>E</w:t>
      </w:r>
      <w:r>
        <w:t>nergy Code Administrator and Secretariat (</w:t>
      </w:r>
      <w:r w:rsidR="000055AC">
        <w:t>SECAS</w:t>
      </w:r>
      <w:r>
        <w:t>)</w:t>
      </w:r>
      <w:r w:rsidR="000055AC">
        <w:t xml:space="preserve"> provided an overview of the issue identified by </w:t>
      </w:r>
      <w:hyperlink r:id="rId8" w:history="1">
        <w:r w:rsidR="000055AC" w:rsidRPr="00583EC5">
          <w:rPr>
            <w:rStyle w:val="Hyperlink"/>
          </w:rPr>
          <w:t>MP</w:t>
        </w:r>
        <w:r w:rsidR="00F64567">
          <w:rPr>
            <w:rStyle w:val="Hyperlink"/>
          </w:rPr>
          <w:t>096</w:t>
        </w:r>
        <w:r w:rsidR="000D7BCC" w:rsidRPr="00583EC5">
          <w:rPr>
            <w:rStyle w:val="Hyperlink"/>
          </w:rPr>
          <w:t xml:space="preserve"> </w:t>
        </w:r>
        <w:r w:rsidR="00583EC5" w:rsidRPr="00583EC5">
          <w:rPr>
            <w:rStyle w:val="Hyperlink"/>
          </w:rPr>
          <w:t>‘</w:t>
        </w:r>
        <w:r w:rsidR="00F64567">
          <w:rPr>
            <w:rStyle w:val="Hyperlink"/>
          </w:rPr>
          <w:t>DNO Power Outage Alerts</w:t>
        </w:r>
        <w:r w:rsidR="00583EC5" w:rsidRPr="00583EC5">
          <w:rPr>
            <w:rStyle w:val="Hyperlink"/>
          </w:rPr>
          <w:t>’</w:t>
        </w:r>
      </w:hyperlink>
      <w:r w:rsidR="007614BB">
        <w:t xml:space="preserve">, the details of the request for information </w:t>
      </w:r>
      <w:r w:rsidR="00F83D10">
        <w:t xml:space="preserve">(RFI) </w:t>
      </w:r>
      <w:r w:rsidR="007614BB">
        <w:t xml:space="preserve">consultation (including the </w:t>
      </w:r>
      <w:r w:rsidR="00864CF8">
        <w:t>P</w:t>
      </w:r>
      <w:r w:rsidR="007614BB">
        <w:t xml:space="preserve">roposed </w:t>
      </w:r>
      <w:r w:rsidR="00864CF8">
        <w:t>S</w:t>
      </w:r>
      <w:r w:rsidR="007614BB">
        <w:t>olution options), and the themes of the responses</w:t>
      </w:r>
      <w:r w:rsidR="000D7BCC">
        <w:t>.</w:t>
      </w:r>
      <w:r w:rsidR="00EB17D8">
        <w:t xml:space="preserve"> </w:t>
      </w:r>
      <w:r w:rsidR="00DF7D1A">
        <w:t xml:space="preserve">The </w:t>
      </w:r>
      <w:r w:rsidR="00F64567">
        <w:t>Data Communications Company (</w:t>
      </w:r>
      <w:r w:rsidR="00DF7D1A">
        <w:t>DCC</w:t>
      </w:r>
      <w:r w:rsidR="00F64567">
        <w:t>)</w:t>
      </w:r>
      <w:r w:rsidR="00DF7D1A">
        <w:t xml:space="preserve"> also provided </w:t>
      </w:r>
      <w:r w:rsidR="007614BB">
        <w:t>detail on the proposed next steps, whereby they will undertake cost-benefit analysis of proposed solution options 2 and 3</w:t>
      </w:r>
      <w:r w:rsidR="00DF7D1A">
        <w:t>.</w:t>
      </w:r>
    </w:p>
    <w:p w14:paraId="0D98D4B1" w14:textId="77777777" w:rsidR="00BF5368" w:rsidRDefault="00BF5368" w:rsidP="00BF5368">
      <w:pPr>
        <w:pStyle w:val="Subheading"/>
      </w:pPr>
    </w:p>
    <w:p w14:paraId="66716060" w14:textId="3B2433BD" w:rsidR="00BF5368" w:rsidRDefault="00BF5368" w:rsidP="00BF5368">
      <w:pPr>
        <w:pStyle w:val="Subheading"/>
      </w:pPr>
      <w:r>
        <w:t>Working Group objectives:</w:t>
      </w:r>
    </w:p>
    <w:p w14:paraId="76E19E4B" w14:textId="04ECFF7B" w:rsidR="00BF5368" w:rsidRDefault="00BF5368" w:rsidP="00BF5368">
      <w:pPr>
        <w:pStyle w:val="ListParagraph"/>
      </w:pPr>
      <w:r w:rsidRPr="00BF5368">
        <w:rPr>
          <w:b/>
          <w:bCs/>
        </w:rPr>
        <w:t>Note</w:t>
      </w:r>
      <w:r>
        <w:t xml:space="preserve"> the issue defined under MP096</w:t>
      </w:r>
    </w:p>
    <w:p w14:paraId="1311D1E6" w14:textId="0F49E485" w:rsidR="00BF5368" w:rsidRDefault="00BF5368" w:rsidP="00BF5368">
      <w:pPr>
        <w:pStyle w:val="ListParagraph"/>
      </w:pPr>
      <w:r w:rsidRPr="00BF5368">
        <w:rPr>
          <w:b/>
          <w:bCs/>
        </w:rPr>
        <w:t>Note</w:t>
      </w:r>
      <w:r>
        <w:t xml:space="preserve"> the context of the RFI</w:t>
      </w:r>
    </w:p>
    <w:p w14:paraId="20D07558" w14:textId="1051DC9D" w:rsidR="00BF5368" w:rsidRDefault="00BF5368" w:rsidP="00BF5368">
      <w:pPr>
        <w:pStyle w:val="ListParagraph"/>
      </w:pPr>
      <w:r w:rsidRPr="00BF5368">
        <w:rPr>
          <w:b/>
          <w:bCs/>
        </w:rPr>
        <w:t>Note</w:t>
      </w:r>
      <w:r>
        <w:t xml:space="preserve"> the </w:t>
      </w:r>
      <w:r w:rsidR="00864CF8">
        <w:t>high-level</w:t>
      </w:r>
      <w:r>
        <w:t xml:space="preserve"> summary of the RFI responses</w:t>
      </w:r>
    </w:p>
    <w:p w14:paraId="5471BFC2" w14:textId="6EFEB3D4" w:rsidR="009949FA" w:rsidRDefault="00BF5368" w:rsidP="00F50F1A">
      <w:pPr>
        <w:pStyle w:val="ListParagraph"/>
      </w:pPr>
      <w:r w:rsidRPr="005278BD">
        <w:rPr>
          <w:b/>
          <w:bCs/>
        </w:rPr>
        <w:t>Agree</w:t>
      </w:r>
      <w:r>
        <w:t xml:space="preserve"> the next steps for MP096</w:t>
      </w:r>
    </w:p>
    <w:p w14:paraId="333DD717" w14:textId="77777777" w:rsidR="00BF5368" w:rsidRDefault="00BF5368" w:rsidP="000055AC"/>
    <w:p w14:paraId="4C3492B5" w14:textId="77777777" w:rsidR="000055AC" w:rsidRDefault="000055AC" w:rsidP="00F556BC">
      <w:pPr>
        <w:pStyle w:val="Subheading"/>
      </w:pPr>
      <w:r w:rsidRPr="009949FA">
        <w:t>Issue</w:t>
      </w:r>
      <w:r>
        <w:t>:</w:t>
      </w:r>
    </w:p>
    <w:p w14:paraId="7FAA8C94" w14:textId="373E640E" w:rsidR="009949FA" w:rsidRDefault="00173D84" w:rsidP="000D7BCC">
      <w:pPr>
        <w:pStyle w:val="ListParagraph"/>
      </w:pPr>
      <w:r>
        <w:t xml:space="preserve">Smart Energy Code (SEC) Section H ‘DCC Services’ H3.14 states that </w:t>
      </w:r>
      <w:r w:rsidRPr="00173D84">
        <w:t>Alerts must be sent to the U</w:t>
      </w:r>
      <w:r>
        <w:t>ser</w:t>
      </w:r>
      <w:r w:rsidRPr="00173D84">
        <w:t xml:space="preserve">, in this case the </w:t>
      </w:r>
      <w:r w:rsidR="00C509B8">
        <w:t>Distribution Network Operator (</w:t>
      </w:r>
      <w:r w:rsidRPr="00173D84">
        <w:t>DNO</w:t>
      </w:r>
      <w:r w:rsidR="00C509B8">
        <w:t>)</w:t>
      </w:r>
      <w:r w:rsidRPr="00173D84">
        <w:t>, within 60 seconds which is measured from the Alert being communicated to or generated by the Communications Hub</w:t>
      </w:r>
      <w:r>
        <w:t>. This includes Power Outage Alerts (POAs) and Power Restoration Alerts (PRAs).</w:t>
      </w:r>
    </w:p>
    <w:p w14:paraId="60A5FC45" w14:textId="0DA2B67D" w:rsidR="00507273" w:rsidRDefault="00173D84" w:rsidP="000D7BCC">
      <w:pPr>
        <w:pStyle w:val="ListParagraph"/>
      </w:pPr>
      <w:r>
        <w:t>The DCC are currently non-compliant with the SEC.</w:t>
      </w:r>
    </w:p>
    <w:p w14:paraId="177A1A6E" w14:textId="50D689AE" w:rsidR="00E6727F" w:rsidRDefault="00173D84" w:rsidP="000D7BCC">
      <w:pPr>
        <w:pStyle w:val="ListParagraph"/>
      </w:pPr>
      <w:r>
        <w:t>Due to Communications Hub and Network design constraints, the DCC cannot meet the SEC obligation in its current form.</w:t>
      </w:r>
    </w:p>
    <w:p w14:paraId="516CCA7A" w14:textId="58CD49EF" w:rsidR="00173D84" w:rsidRDefault="00173D84" w:rsidP="000D7BCC">
      <w:pPr>
        <w:pStyle w:val="ListParagraph"/>
      </w:pPr>
      <w:r>
        <w:t xml:space="preserve">Primary impact: </w:t>
      </w:r>
      <w:r w:rsidRPr="00173D84">
        <w:t>DNOs are not able to deliver the expected benefits and cost efficiencies from smart meter POAs and PRAs</w:t>
      </w:r>
      <w:r>
        <w:t>.</w:t>
      </w:r>
    </w:p>
    <w:p w14:paraId="62040712" w14:textId="77777777" w:rsidR="00583EC5" w:rsidRDefault="00583EC5" w:rsidP="00D160AF"/>
    <w:p w14:paraId="3C3F8A68" w14:textId="165EE8F7" w:rsidR="005776F4" w:rsidRDefault="005E6819" w:rsidP="00F556BC">
      <w:pPr>
        <w:pStyle w:val="Subheading"/>
      </w:pPr>
      <w:r>
        <w:t>RFI proposed solution options</w:t>
      </w:r>
      <w:r w:rsidR="005776F4">
        <w:t>:</w:t>
      </w:r>
    </w:p>
    <w:p w14:paraId="08CEA17A" w14:textId="1E24B1AB" w:rsidR="00F27364" w:rsidRDefault="00F27364" w:rsidP="00F27364">
      <w:pPr>
        <w:pStyle w:val="ListParagraph"/>
      </w:pPr>
      <w:r w:rsidRPr="00BF5368">
        <w:rPr>
          <w:b/>
          <w:bCs/>
        </w:rPr>
        <w:t>Option 1 –</w:t>
      </w:r>
      <w:r>
        <w:t xml:space="preserve"> Do nothing</w:t>
      </w:r>
    </w:p>
    <w:p w14:paraId="4EDAF95B" w14:textId="77777777" w:rsidR="00F27364" w:rsidRDefault="00F27364" w:rsidP="00F27364">
      <w:pPr>
        <w:pStyle w:val="ListParagraph"/>
      </w:pPr>
      <w:r w:rsidRPr="00BF5368">
        <w:rPr>
          <w:b/>
          <w:bCs/>
        </w:rPr>
        <w:t>Option 2 –</w:t>
      </w:r>
      <w:r>
        <w:t xml:space="preserve"> </w:t>
      </w:r>
      <w:bookmarkStart w:id="0" w:name="_Hlk73542387"/>
      <w:r>
        <w:t>Change the SEC to current DCC performance</w:t>
      </w:r>
    </w:p>
    <w:bookmarkEnd w:id="0"/>
    <w:p w14:paraId="00C0B43B" w14:textId="6E9CBE17" w:rsidR="00F27364" w:rsidRDefault="00F27364" w:rsidP="00F27364">
      <w:pPr>
        <w:pStyle w:val="ListParagraph"/>
      </w:pPr>
      <w:r w:rsidRPr="00BF5368">
        <w:rPr>
          <w:b/>
          <w:bCs/>
        </w:rPr>
        <w:t>Option 3 –</w:t>
      </w:r>
      <w:r>
        <w:t xml:space="preserve"> Change the SEC following implementing system improvement </w:t>
      </w:r>
    </w:p>
    <w:p w14:paraId="4899CA89" w14:textId="04B037A6" w:rsidR="00F27364" w:rsidRDefault="00F27364" w:rsidP="00F27364">
      <w:pPr>
        <w:pStyle w:val="ListParagraph"/>
        <w:numPr>
          <w:ilvl w:val="1"/>
          <w:numId w:val="3"/>
        </w:numPr>
      </w:pPr>
      <w:r>
        <w:t>Option 3A – Minimum change required to deliver a significant improvement</w:t>
      </w:r>
    </w:p>
    <w:p w14:paraId="0E357B09" w14:textId="2B528BEF" w:rsidR="00F27364" w:rsidRDefault="00F27364" w:rsidP="00F27364">
      <w:pPr>
        <w:pStyle w:val="ListParagraph"/>
        <w:numPr>
          <w:ilvl w:val="0"/>
          <w:numId w:val="0"/>
        </w:numPr>
        <w:ind w:left="1440"/>
      </w:pPr>
      <w:r>
        <w:t>This assumes that a select number of the changes assessed that deliver the largest improvement in performance are implemented, and the rest of the changes are disregarded.</w:t>
      </w:r>
    </w:p>
    <w:p w14:paraId="48D86743" w14:textId="77538EA1" w:rsidR="00F27364" w:rsidRDefault="00F27364" w:rsidP="00F27364">
      <w:pPr>
        <w:pStyle w:val="ListParagraph"/>
        <w:numPr>
          <w:ilvl w:val="1"/>
          <w:numId w:val="3"/>
        </w:numPr>
      </w:pPr>
      <w:r>
        <w:t xml:space="preserve">Option 3B – Maximum performance improvement </w:t>
      </w:r>
    </w:p>
    <w:p w14:paraId="18CF088C" w14:textId="4973499E" w:rsidR="00F27364" w:rsidRDefault="00F27364" w:rsidP="00F27364">
      <w:pPr>
        <w:pStyle w:val="ListParagraph"/>
        <w:numPr>
          <w:ilvl w:val="0"/>
          <w:numId w:val="0"/>
        </w:numPr>
        <w:ind w:left="1440"/>
      </w:pPr>
      <w:r>
        <w:t>This option implements all system changes assessed which improve the speed and quality to deliver a POA or PRA.</w:t>
      </w:r>
    </w:p>
    <w:p w14:paraId="665D1B88" w14:textId="70109838" w:rsidR="005E6819" w:rsidRDefault="005E6819" w:rsidP="005E6819"/>
    <w:p w14:paraId="6A8032AC" w14:textId="1153C5EA" w:rsidR="005E6819" w:rsidRDefault="005E6819" w:rsidP="005E6819">
      <w:pPr>
        <w:pStyle w:val="Subheading"/>
      </w:pPr>
      <w:r>
        <w:lastRenderedPageBreak/>
        <w:t>RFI themes:</w:t>
      </w:r>
    </w:p>
    <w:p w14:paraId="5324D70F" w14:textId="5B4FACE1" w:rsidR="005E6819" w:rsidRDefault="00F27364" w:rsidP="005E6819">
      <w:pPr>
        <w:pStyle w:val="ListParagraph"/>
      </w:pPr>
      <w:r w:rsidRPr="00BF5368">
        <w:rPr>
          <w:b/>
          <w:bCs/>
        </w:rPr>
        <w:t>Option 1 –</w:t>
      </w:r>
      <w:r>
        <w:t xml:space="preserve"> </w:t>
      </w:r>
      <w:r w:rsidR="00BF5368">
        <w:t>two</w:t>
      </w:r>
      <w:r>
        <w:t xml:space="preserve"> supportive Parties</w:t>
      </w:r>
    </w:p>
    <w:p w14:paraId="18215008" w14:textId="77777777" w:rsidR="00F27364" w:rsidRPr="00F27364" w:rsidRDefault="00F27364" w:rsidP="00F27364">
      <w:pPr>
        <w:pStyle w:val="ListParagraph"/>
        <w:numPr>
          <w:ilvl w:val="1"/>
          <w:numId w:val="3"/>
        </w:numPr>
      </w:pPr>
      <w:r w:rsidRPr="00F27364">
        <w:t>Most straightforward option to implement.</w:t>
      </w:r>
    </w:p>
    <w:p w14:paraId="51080777" w14:textId="77777777" w:rsidR="00F27364" w:rsidRPr="00F27364" w:rsidRDefault="00F27364" w:rsidP="00F27364">
      <w:pPr>
        <w:pStyle w:val="ListParagraph"/>
        <w:numPr>
          <w:ilvl w:val="1"/>
          <w:numId w:val="3"/>
        </w:numPr>
      </w:pPr>
      <w:r w:rsidRPr="00F27364">
        <w:t>Does not rectify non-compliance issue or deliver benefits to customers through system improvements.</w:t>
      </w:r>
    </w:p>
    <w:p w14:paraId="0166F1AB" w14:textId="54BE11F6" w:rsidR="00F27364" w:rsidRDefault="00F27364" w:rsidP="00F27364">
      <w:pPr>
        <w:pStyle w:val="ListParagraph"/>
        <w:numPr>
          <w:ilvl w:val="1"/>
          <w:numId w:val="3"/>
        </w:numPr>
      </w:pPr>
      <w:r w:rsidRPr="00F27364">
        <w:t>Raises queries over whether the Network Evolution Program will deliver POA/PRA enhancements.</w:t>
      </w:r>
    </w:p>
    <w:p w14:paraId="1AC3EEEC" w14:textId="5B3A46C5" w:rsidR="00F27364" w:rsidRDefault="00F27364" w:rsidP="00F27364">
      <w:pPr>
        <w:pStyle w:val="ListParagraph"/>
      </w:pPr>
      <w:r w:rsidRPr="00BF5368">
        <w:rPr>
          <w:b/>
          <w:bCs/>
        </w:rPr>
        <w:t>Option 2 –</w:t>
      </w:r>
      <w:r>
        <w:t xml:space="preserve"> </w:t>
      </w:r>
      <w:r w:rsidR="00BF5368">
        <w:t>three</w:t>
      </w:r>
      <w:r>
        <w:t xml:space="preserve"> supportive Parties plus </w:t>
      </w:r>
      <w:r w:rsidR="00BF5368">
        <w:t>one</w:t>
      </w:r>
      <w:r>
        <w:t xml:space="preserve"> supportive of a derivative of </w:t>
      </w:r>
      <w:r w:rsidR="00F83D10">
        <w:t>O</w:t>
      </w:r>
      <w:r>
        <w:t>ption 2</w:t>
      </w:r>
    </w:p>
    <w:p w14:paraId="31B23AA3" w14:textId="77777777" w:rsidR="00F27364" w:rsidRPr="00F27364" w:rsidRDefault="00F27364" w:rsidP="00F27364">
      <w:pPr>
        <w:pStyle w:val="ListParagraph"/>
        <w:numPr>
          <w:ilvl w:val="1"/>
          <w:numId w:val="3"/>
        </w:numPr>
      </w:pPr>
      <w:r w:rsidRPr="00F27364">
        <w:t>Proposal to be aligned with current system capabilities as opposed to current performance.</w:t>
      </w:r>
    </w:p>
    <w:p w14:paraId="1D80462D" w14:textId="77777777" w:rsidR="00F27364" w:rsidRPr="00F27364" w:rsidRDefault="00F27364" w:rsidP="00F27364">
      <w:pPr>
        <w:pStyle w:val="ListParagraph"/>
        <w:numPr>
          <w:ilvl w:val="1"/>
          <w:numId w:val="3"/>
        </w:numPr>
      </w:pPr>
      <w:r w:rsidRPr="00F27364">
        <w:t>DCC can be held accountable to providing a certain level of service.</w:t>
      </w:r>
    </w:p>
    <w:p w14:paraId="5D10E059" w14:textId="77777777" w:rsidR="00F27364" w:rsidRPr="00F27364" w:rsidRDefault="00F27364" w:rsidP="00F27364">
      <w:pPr>
        <w:pStyle w:val="ListParagraph"/>
        <w:numPr>
          <w:ilvl w:val="1"/>
          <w:numId w:val="3"/>
        </w:numPr>
      </w:pPr>
      <w:r w:rsidRPr="00F27364">
        <w:t>Benefits the DCC in terms of resolving their non-compliance with the SEC.</w:t>
      </w:r>
    </w:p>
    <w:p w14:paraId="6A55C702" w14:textId="2F0D1E48" w:rsidR="00F27364" w:rsidRDefault="00F27364" w:rsidP="00F27364">
      <w:pPr>
        <w:pStyle w:val="ListParagraph"/>
        <w:numPr>
          <w:ilvl w:val="1"/>
          <w:numId w:val="3"/>
        </w:numPr>
      </w:pPr>
      <w:r w:rsidRPr="00F27364">
        <w:t xml:space="preserve">DCC requested to carry out further testing to demonstrate current baseline </w:t>
      </w:r>
      <w:proofErr w:type="gramStart"/>
      <w:r w:rsidR="00F83D10">
        <w:t>A</w:t>
      </w:r>
      <w:r w:rsidRPr="00F27364">
        <w:t>lerts</w:t>
      </w:r>
      <w:proofErr w:type="gramEnd"/>
      <w:r w:rsidRPr="00F27364">
        <w:t xml:space="preserve"> performance.</w:t>
      </w:r>
    </w:p>
    <w:p w14:paraId="4107B014" w14:textId="090DF6D6" w:rsidR="00F27364" w:rsidRDefault="00F27364" w:rsidP="00F27364">
      <w:pPr>
        <w:pStyle w:val="ListParagraph"/>
      </w:pPr>
      <w:r w:rsidRPr="00BF5368">
        <w:rPr>
          <w:b/>
          <w:bCs/>
        </w:rPr>
        <w:t>Option 3 –</w:t>
      </w:r>
      <w:r>
        <w:t xml:space="preserve"> </w:t>
      </w:r>
      <w:r w:rsidR="00BF5368">
        <w:t>two</w:t>
      </w:r>
      <w:r>
        <w:t xml:space="preserve"> supportive Parties</w:t>
      </w:r>
    </w:p>
    <w:p w14:paraId="4EC8DB6E" w14:textId="77777777" w:rsidR="00F27364" w:rsidRPr="00F27364" w:rsidRDefault="00F27364" w:rsidP="00F27364">
      <w:pPr>
        <w:pStyle w:val="ListParagraph"/>
        <w:numPr>
          <w:ilvl w:val="1"/>
          <w:numId w:val="3"/>
        </w:numPr>
      </w:pPr>
      <w:r w:rsidRPr="00F27364">
        <w:t>Only option that enhances POA/PRA performance.</w:t>
      </w:r>
    </w:p>
    <w:p w14:paraId="0A96EF72" w14:textId="77777777" w:rsidR="00F27364" w:rsidRPr="00F27364" w:rsidRDefault="00F27364" w:rsidP="00F27364">
      <w:pPr>
        <w:pStyle w:val="ListParagraph"/>
        <w:numPr>
          <w:ilvl w:val="1"/>
          <w:numId w:val="3"/>
        </w:numPr>
      </w:pPr>
      <w:r w:rsidRPr="00F27364">
        <w:t>Minimal benefits to small scale outages (which occur more frequently).</w:t>
      </w:r>
    </w:p>
    <w:p w14:paraId="5B6C8BC7" w14:textId="1D964352" w:rsidR="00F27364" w:rsidRPr="00F27364" w:rsidRDefault="00F27364" w:rsidP="00F27364">
      <w:pPr>
        <w:pStyle w:val="ListParagraph"/>
        <w:numPr>
          <w:ilvl w:val="1"/>
          <w:numId w:val="3"/>
        </w:numPr>
      </w:pPr>
      <w:r w:rsidRPr="00F27364">
        <w:t xml:space="preserve">DNOs use </w:t>
      </w:r>
      <w:r w:rsidR="00F83D10" w:rsidRPr="00F83D10">
        <w:t>Supervisory Control and Data Acquisition</w:t>
      </w:r>
      <w:r w:rsidR="00F83D10">
        <w:t xml:space="preserve"> (</w:t>
      </w:r>
      <w:r w:rsidRPr="00F27364">
        <w:t>SCADA</w:t>
      </w:r>
      <w:r w:rsidR="00F83D10">
        <w:t>)</w:t>
      </w:r>
      <w:r w:rsidRPr="00F27364">
        <w:t xml:space="preserve"> monitoring on H</w:t>
      </w:r>
      <w:r w:rsidR="00F83D10">
        <w:t xml:space="preserve">igh </w:t>
      </w:r>
      <w:r w:rsidRPr="00F27364">
        <w:t>V</w:t>
      </w:r>
      <w:r w:rsidR="00F83D10">
        <w:t>oltage</w:t>
      </w:r>
      <w:r w:rsidRPr="00F27364">
        <w:t xml:space="preserve"> networks to detect large scale outages and therefore there are minimal advantages of this option.</w:t>
      </w:r>
    </w:p>
    <w:p w14:paraId="6E3B474D" w14:textId="2EEAD056" w:rsidR="00F27364" w:rsidRPr="00F27364" w:rsidRDefault="00F27364" w:rsidP="00F27364">
      <w:pPr>
        <w:pStyle w:val="ListParagraph"/>
        <w:numPr>
          <w:ilvl w:val="1"/>
          <w:numId w:val="3"/>
        </w:numPr>
      </w:pPr>
      <w:r w:rsidRPr="00F27364">
        <w:t xml:space="preserve">Option 3 utilises the </w:t>
      </w:r>
      <w:r w:rsidR="00F83D10" w:rsidRPr="00F27364">
        <w:t>C</w:t>
      </w:r>
      <w:r w:rsidR="00F83D10">
        <w:t xml:space="preserve">ommunication </w:t>
      </w:r>
      <w:r w:rsidRPr="00F27364">
        <w:t>S</w:t>
      </w:r>
      <w:r w:rsidR="00F83D10">
        <w:t xml:space="preserve">ervice </w:t>
      </w:r>
      <w:r w:rsidRPr="00F27364">
        <w:t>P</w:t>
      </w:r>
      <w:r w:rsidR="00F83D10">
        <w:t>rovider</w:t>
      </w:r>
      <w:r w:rsidRPr="00F27364">
        <w:t xml:space="preserve"> N</w:t>
      </w:r>
      <w:r w:rsidR="00F83D10">
        <w:t>orth (</w:t>
      </w:r>
      <w:r w:rsidR="00DF17BF">
        <w:t>CSP N)</w:t>
      </w:r>
      <w:r w:rsidRPr="00F27364">
        <w:t xml:space="preserve"> C</w:t>
      </w:r>
      <w:r w:rsidR="00F83D10">
        <w:t>ommunications Hub</w:t>
      </w:r>
      <w:r w:rsidRPr="00F27364">
        <w:t xml:space="preserve"> PRA which would require DNOs to implement system changes.</w:t>
      </w:r>
    </w:p>
    <w:p w14:paraId="732B5865" w14:textId="77777777" w:rsidR="00F27364" w:rsidRPr="00F27364" w:rsidRDefault="00F27364" w:rsidP="00F27364">
      <w:pPr>
        <w:pStyle w:val="ListParagraph"/>
        <w:numPr>
          <w:ilvl w:val="1"/>
          <w:numId w:val="3"/>
        </w:numPr>
      </w:pPr>
      <w:r w:rsidRPr="00F27364">
        <w:t>Option 3B provides no further benefits to CSP N customers.</w:t>
      </w:r>
    </w:p>
    <w:p w14:paraId="756A9B1A" w14:textId="60EB0B9B" w:rsidR="00F27364" w:rsidRDefault="00F27364" w:rsidP="00F27364">
      <w:pPr>
        <w:pStyle w:val="ListParagraph"/>
        <w:numPr>
          <w:ilvl w:val="1"/>
          <w:numId w:val="3"/>
        </w:numPr>
      </w:pPr>
      <w:r w:rsidRPr="00F27364">
        <w:t>Highest associated cost.</w:t>
      </w:r>
    </w:p>
    <w:p w14:paraId="316EA791" w14:textId="469784D6" w:rsidR="00E31D79" w:rsidRDefault="009949FA" w:rsidP="00F556BC">
      <w:pPr>
        <w:pStyle w:val="Subtitle"/>
      </w:pPr>
      <w:r>
        <w:t>Working Group d</w:t>
      </w:r>
      <w:r w:rsidR="00E31D79">
        <w:t>iscussions</w:t>
      </w:r>
    </w:p>
    <w:p w14:paraId="5AF22686" w14:textId="7258C9CA" w:rsidR="005278BD" w:rsidRDefault="005278BD" w:rsidP="00F85CE1">
      <w:r>
        <w:t>SECAS informed the Working Group of the objectives of the meeting and stated that the intention is to return to the Working Group in July 2021 to discuss the RFI responses in more detail as well as provide cost-benefit analysis of the proposed solution</w:t>
      </w:r>
      <w:r w:rsidR="00DF17BF">
        <w:t xml:space="preserve"> options</w:t>
      </w:r>
      <w:r>
        <w:t xml:space="preserve"> put forward.</w:t>
      </w:r>
    </w:p>
    <w:p w14:paraId="37739C19" w14:textId="71073CDD" w:rsidR="005278BD" w:rsidRDefault="007F5AAC" w:rsidP="00F85CE1">
      <w:r>
        <w:t>SECAS summarised the issue and the Working Group agreed that it is clear and defined.</w:t>
      </w:r>
    </w:p>
    <w:p w14:paraId="3B2479DD" w14:textId="12BCCDDD" w:rsidR="00F83D10" w:rsidRDefault="00F83D10" w:rsidP="00F83D10">
      <w:pPr>
        <w:pStyle w:val="Subheading"/>
      </w:pPr>
      <w:r>
        <w:t>Option 1 ‘Do Nothing’</w:t>
      </w:r>
    </w:p>
    <w:p w14:paraId="3DB6DFD9" w14:textId="24D58DCA" w:rsidR="007F5AAC" w:rsidRDefault="007F5AAC" w:rsidP="00F85CE1">
      <w:r>
        <w:t xml:space="preserve">SECAS provided the Working Group with a summary of </w:t>
      </w:r>
      <w:r w:rsidR="00171DEA">
        <w:t>Option 1</w:t>
      </w:r>
      <w:r>
        <w:t xml:space="preserve"> responses. A Working Group member stated that Option 1 is not a viable solution </w:t>
      </w:r>
      <w:r w:rsidR="0067166D">
        <w:t xml:space="preserve">as the DCC Network Evolution </w:t>
      </w:r>
      <w:r w:rsidR="003D2968">
        <w:t>Programme</w:t>
      </w:r>
      <w:r w:rsidR="0067166D">
        <w:t xml:space="preserve"> will only result in enhancements for Communication Service Provider Central &amp; South (CSP C&amp;S). This was confirmed by the SEC Operations Team. The Working Group agreed that permanent derogation for CSP N is not an option and so Option 1 should be discarded.</w:t>
      </w:r>
    </w:p>
    <w:p w14:paraId="173CE988" w14:textId="7965D7E0" w:rsidR="0067166D" w:rsidRDefault="0067166D" w:rsidP="00F85CE1">
      <w:r>
        <w:t xml:space="preserve">The Working Group requested that the DCC provides clear guidance </w:t>
      </w:r>
      <w:r w:rsidR="003D2968">
        <w:t xml:space="preserve">on the Network Evolution Programme for the next Working Group session to allow Parties to understand what is in scope of the </w:t>
      </w:r>
      <w:r w:rsidR="003D2968">
        <w:lastRenderedPageBreak/>
        <w:t xml:space="preserve">proposed </w:t>
      </w:r>
      <w:r w:rsidR="00DF17BF">
        <w:t xml:space="preserve">functionality of </w:t>
      </w:r>
      <w:r w:rsidR="003D2968">
        <w:t>fourth Generation (4G) Communications Hubs.</w:t>
      </w:r>
      <w:r w:rsidR="004B7E54">
        <w:t xml:space="preserve"> A Network Representative commented that a DCC consultation issued on </w:t>
      </w:r>
      <w:r w:rsidR="00AB1C46">
        <w:t>6 April 2021 stated that POA and PRA performance enhancement was currently out of scope.</w:t>
      </w:r>
    </w:p>
    <w:p w14:paraId="51209EA0" w14:textId="2BE3D5BA" w:rsidR="003D2968" w:rsidRDefault="003D2968" w:rsidP="00F85CE1">
      <w:r>
        <w:t>A Large Supplier representative asked whether the non-compliance/failure to meet the Service Level Agreement (SLA) is purely down to Alert timing. This was confirmed, and a Network Party representative stated that current performance was documented in the MP096 Modification Report. SECAS have provided a copy of the table</w:t>
      </w:r>
      <w:r w:rsidR="00DF17BF">
        <w:t>s</w:t>
      </w:r>
      <w:r>
        <w:t xml:space="preserve"> below</w:t>
      </w:r>
      <w:r w:rsidR="00797BA4">
        <w:t xml:space="preserve"> (as described under Scenario F (outage of 30,000 properties) in the DCC Technical Study Paper)</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ayout w:type="fixed"/>
        <w:tblLook w:val="04A0" w:firstRow="1" w:lastRow="0" w:firstColumn="1" w:lastColumn="0" w:noHBand="0" w:noVBand="1"/>
      </w:tblPr>
      <w:tblGrid>
        <w:gridCol w:w="2267"/>
        <w:gridCol w:w="1132"/>
        <w:gridCol w:w="1134"/>
        <w:gridCol w:w="1138"/>
        <w:gridCol w:w="1134"/>
        <w:gridCol w:w="1134"/>
        <w:gridCol w:w="1077"/>
      </w:tblGrid>
      <w:tr w:rsidR="003D2968" w:rsidRPr="00687160" w14:paraId="7BBDA476" w14:textId="77777777" w:rsidTr="00261C3F">
        <w:trPr>
          <w:tblHeader/>
        </w:trPr>
        <w:tc>
          <w:tcPr>
            <w:tcW w:w="5000" w:type="pct"/>
            <w:gridSpan w:val="7"/>
            <w:shd w:val="clear" w:color="auto" w:fill="007C31"/>
          </w:tcPr>
          <w:p w14:paraId="139FFD1B" w14:textId="77777777" w:rsidR="003D2968" w:rsidRDefault="003D2968" w:rsidP="00261C3F">
            <w:pPr>
              <w:pStyle w:val="Tabletitle"/>
            </w:pPr>
            <w:r>
              <w:t>North Region</w:t>
            </w:r>
          </w:p>
        </w:tc>
      </w:tr>
      <w:tr w:rsidR="003D2968" w:rsidRPr="00687160" w14:paraId="16BB935F" w14:textId="77777777" w:rsidTr="00261C3F">
        <w:trPr>
          <w:tblHeader/>
        </w:trPr>
        <w:tc>
          <w:tcPr>
            <w:tcW w:w="1257" w:type="pct"/>
            <w:vMerge w:val="restart"/>
            <w:shd w:val="clear" w:color="auto" w:fill="auto"/>
          </w:tcPr>
          <w:p w14:paraId="355B30CA" w14:textId="77777777" w:rsidR="003D2968" w:rsidRDefault="003D2968" w:rsidP="00261C3F">
            <w:pPr>
              <w:pStyle w:val="Tablecolumheader"/>
            </w:pPr>
            <w:r>
              <w:t>Volume</w:t>
            </w:r>
          </w:p>
        </w:tc>
        <w:tc>
          <w:tcPr>
            <w:tcW w:w="1888" w:type="pct"/>
            <w:gridSpan w:val="3"/>
            <w:shd w:val="clear" w:color="auto" w:fill="auto"/>
          </w:tcPr>
          <w:p w14:paraId="066B7AD8" w14:textId="77777777" w:rsidR="003D2968" w:rsidRDefault="003D2968" w:rsidP="00261C3F">
            <w:pPr>
              <w:pStyle w:val="Tablecolumheader"/>
            </w:pPr>
            <w:r>
              <w:t>Power Outage Alert</w:t>
            </w:r>
          </w:p>
        </w:tc>
        <w:tc>
          <w:tcPr>
            <w:tcW w:w="1855" w:type="pct"/>
            <w:gridSpan w:val="3"/>
            <w:shd w:val="clear" w:color="auto" w:fill="auto"/>
          </w:tcPr>
          <w:p w14:paraId="6454728E" w14:textId="77777777" w:rsidR="003D2968" w:rsidRPr="00687160" w:rsidRDefault="003D2968" w:rsidP="00261C3F">
            <w:pPr>
              <w:pStyle w:val="Tablecolumheader"/>
            </w:pPr>
            <w:r>
              <w:t>Power Restoration Performance</w:t>
            </w:r>
          </w:p>
        </w:tc>
      </w:tr>
      <w:tr w:rsidR="003D2968" w14:paraId="473F4148" w14:textId="77777777" w:rsidTr="00261C3F">
        <w:trPr>
          <w:tblHeader/>
        </w:trPr>
        <w:tc>
          <w:tcPr>
            <w:tcW w:w="1257" w:type="pct"/>
            <w:vMerge/>
          </w:tcPr>
          <w:p w14:paraId="35115890" w14:textId="77777777" w:rsidR="003D2968" w:rsidRDefault="003D2968" w:rsidP="00261C3F">
            <w:pPr>
              <w:pStyle w:val="Tablecolumheader"/>
            </w:pPr>
          </w:p>
        </w:tc>
        <w:tc>
          <w:tcPr>
            <w:tcW w:w="628" w:type="pct"/>
            <w:shd w:val="clear" w:color="auto" w:fill="D9D9D9" w:themeFill="background1" w:themeFillShade="D9"/>
          </w:tcPr>
          <w:p w14:paraId="757F56DD" w14:textId="77777777" w:rsidR="003D2968" w:rsidRDefault="003D2968" w:rsidP="00261C3F">
            <w:pPr>
              <w:pStyle w:val="Tablecolumheader"/>
            </w:pPr>
            <w:r>
              <w:t>Current</w:t>
            </w:r>
          </w:p>
        </w:tc>
        <w:tc>
          <w:tcPr>
            <w:tcW w:w="629" w:type="pct"/>
          </w:tcPr>
          <w:p w14:paraId="31345239" w14:textId="77777777" w:rsidR="003D2968" w:rsidRDefault="003D2968" w:rsidP="00261C3F">
            <w:pPr>
              <w:pStyle w:val="Tablecolumheader"/>
            </w:pPr>
            <w:r>
              <w:t>Option A</w:t>
            </w:r>
          </w:p>
        </w:tc>
        <w:tc>
          <w:tcPr>
            <w:tcW w:w="631" w:type="pct"/>
          </w:tcPr>
          <w:p w14:paraId="3F432AF3" w14:textId="77777777" w:rsidR="003D2968" w:rsidRDefault="003D2968" w:rsidP="00261C3F">
            <w:pPr>
              <w:pStyle w:val="Tablecolumheader"/>
            </w:pPr>
            <w:r>
              <w:t>Option B</w:t>
            </w:r>
          </w:p>
        </w:tc>
        <w:tc>
          <w:tcPr>
            <w:tcW w:w="629" w:type="pct"/>
            <w:shd w:val="clear" w:color="auto" w:fill="D9D9D9" w:themeFill="background1" w:themeFillShade="D9"/>
          </w:tcPr>
          <w:p w14:paraId="0ED388BE" w14:textId="77777777" w:rsidR="003D2968" w:rsidRDefault="003D2968" w:rsidP="00261C3F">
            <w:pPr>
              <w:pStyle w:val="Tablecolumheader"/>
            </w:pPr>
            <w:r>
              <w:t>Current</w:t>
            </w:r>
          </w:p>
        </w:tc>
        <w:tc>
          <w:tcPr>
            <w:tcW w:w="629" w:type="pct"/>
          </w:tcPr>
          <w:p w14:paraId="64319A0B" w14:textId="77777777" w:rsidR="003D2968" w:rsidRPr="00687160" w:rsidRDefault="003D2968" w:rsidP="00261C3F">
            <w:pPr>
              <w:pStyle w:val="Tablecolumheader"/>
            </w:pPr>
            <w:r>
              <w:t>Option A</w:t>
            </w:r>
          </w:p>
        </w:tc>
        <w:tc>
          <w:tcPr>
            <w:tcW w:w="597" w:type="pct"/>
          </w:tcPr>
          <w:p w14:paraId="5DEF7A9A" w14:textId="77777777" w:rsidR="003D2968" w:rsidRDefault="003D2968" w:rsidP="00261C3F">
            <w:pPr>
              <w:pStyle w:val="Tablecolumheader"/>
            </w:pPr>
            <w:r>
              <w:t>Option B</w:t>
            </w:r>
          </w:p>
        </w:tc>
      </w:tr>
      <w:tr w:rsidR="003D2968" w14:paraId="625341B8" w14:textId="77777777" w:rsidTr="00261C3F">
        <w:tc>
          <w:tcPr>
            <w:tcW w:w="1257" w:type="pct"/>
          </w:tcPr>
          <w:p w14:paraId="60B8511A" w14:textId="77777777" w:rsidR="003D2968" w:rsidRPr="00F81528" w:rsidRDefault="003D2968" w:rsidP="00261C3F">
            <w:pPr>
              <w:pStyle w:val="Tablebodytext"/>
            </w:pPr>
            <w:r w:rsidRPr="00927F0B">
              <w:t>50% message delivery</w:t>
            </w:r>
          </w:p>
        </w:tc>
        <w:tc>
          <w:tcPr>
            <w:tcW w:w="628" w:type="pct"/>
            <w:shd w:val="clear" w:color="auto" w:fill="D9D9D9" w:themeFill="background1" w:themeFillShade="D9"/>
          </w:tcPr>
          <w:p w14:paraId="1A0C4C82" w14:textId="77777777" w:rsidR="003D2968" w:rsidRPr="00F81528" w:rsidRDefault="003D2968" w:rsidP="00261C3F">
            <w:pPr>
              <w:pStyle w:val="Tablebodytext"/>
              <w:jc w:val="right"/>
            </w:pPr>
            <w:r w:rsidRPr="00927F0B">
              <w:t>6m 30s</w:t>
            </w:r>
          </w:p>
        </w:tc>
        <w:tc>
          <w:tcPr>
            <w:tcW w:w="629" w:type="pct"/>
          </w:tcPr>
          <w:p w14:paraId="64DFC694" w14:textId="77777777" w:rsidR="003D2968" w:rsidRPr="00F81528" w:rsidRDefault="003D2968" w:rsidP="00261C3F">
            <w:pPr>
              <w:pStyle w:val="Tablebodytext"/>
              <w:jc w:val="right"/>
            </w:pPr>
            <w:r w:rsidRPr="00927F0B">
              <w:t>3m 50s</w:t>
            </w:r>
          </w:p>
        </w:tc>
        <w:tc>
          <w:tcPr>
            <w:tcW w:w="631" w:type="pct"/>
          </w:tcPr>
          <w:p w14:paraId="77D2142C" w14:textId="77777777" w:rsidR="003D2968" w:rsidRPr="00F81528" w:rsidRDefault="003D2968" w:rsidP="00261C3F">
            <w:pPr>
              <w:pStyle w:val="Tablebodytext"/>
              <w:jc w:val="right"/>
            </w:pPr>
            <w:r w:rsidRPr="00927F0B">
              <w:t>3m 55s</w:t>
            </w:r>
          </w:p>
        </w:tc>
        <w:tc>
          <w:tcPr>
            <w:tcW w:w="629" w:type="pct"/>
            <w:shd w:val="clear" w:color="auto" w:fill="D9D9D9" w:themeFill="background1" w:themeFillShade="D9"/>
          </w:tcPr>
          <w:p w14:paraId="515CD837" w14:textId="77777777" w:rsidR="003D2968" w:rsidRPr="00F81528" w:rsidRDefault="003D2968" w:rsidP="00261C3F">
            <w:pPr>
              <w:pStyle w:val="Tablebodytext"/>
              <w:jc w:val="right"/>
            </w:pPr>
            <w:r w:rsidRPr="00927F0B">
              <w:t xml:space="preserve">24m </w:t>
            </w:r>
            <w:r>
              <w:t>0</w:t>
            </w:r>
            <w:r w:rsidRPr="00927F0B">
              <w:t>0s</w:t>
            </w:r>
          </w:p>
        </w:tc>
        <w:tc>
          <w:tcPr>
            <w:tcW w:w="629" w:type="pct"/>
          </w:tcPr>
          <w:p w14:paraId="71DF961C" w14:textId="77777777" w:rsidR="003D2968" w:rsidRPr="00F81528" w:rsidRDefault="003D2968" w:rsidP="00261C3F">
            <w:pPr>
              <w:pStyle w:val="Tablebodytext"/>
              <w:jc w:val="right"/>
            </w:pPr>
            <w:r w:rsidRPr="00927F0B">
              <w:t>3m 47s</w:t>
            </w:r>
          </w:p>
        </w:tc>
        <w:tc>
          <w:tcPr>
            <w:tcW w:w="597" w:type="pct"/>
          </w:tcPr>
          <w:p w14:paraId="298EB219" w14:textId="77777777" w:rsidR="003D2968" w:rsidRPr="00F81528" w:rsidRDefault="003D2968" w:rsidP="00261C3F">
            <w:pPr>
              <w:pStyle w:val="Tablebodytext"/>
              <w:jc w:val="right"/>
            </w:pPr>
            <w:r w:rsidRPr="00927F0B">
              <w:t>3m 47s</w:t>
            </w:r>
          </w:p>
        </w:tc>
      </w:tr>
      <w:tr w:rsidR="003D2968" w14:paraId="33AC51BC" w14:textId="77777777" w:rsidTr="00261C3F">
        <w:tc>
          <w:tcPr>
            <w:tcW w:w="1257" w:type="pct"/>
          </w:tcPr>
          <w:p w14:paraId="2F0D2B7A" w14:textId="77777777" w:rsidR="003D2968" w:rsidRPr="00F81528" w:rsidRDefault="003D2968" w:rsidP="00261C3F">
            <w:pPr>
              <w:pStyle w:val="Tablebodytext"/>
            </w:pPr>
            <w:r w:rsidRPr="00927F0B">
              <w:t>80% message delivery</w:t>
            </w:r>
          </w:p>
        </w:tc>
        <w:tc>
          <w:tcPr>
            <w:tcW w:w="628" w:type="pct"/>
            <w:shd w:val="clear" w:color="auto" w:fill="D9D9D9" w:themeFill="background1" w:themeFillShade="D9"/>
          </w:tcPr>
          <w:p w14:paraId="2749B5EC" w14:textId="77777777" w:rsidR="003D2968" w:rsidRPr="00F81528" w:rsidRDefault="003D2968" w:rsidP="00261C3F">
            <w:pPr>
              <w:pStyle w:val="Tablebodytext"/>
              <w:jc w:val="right"/>
            </w:pPr>
            <w:r w:rsidRPr="00927F0B">
              <w:t>8m 45s</w:t>
            </w:r>
          </w:p>
        </w:tc>
        <w:tc>
          <w:tcPr>
            <w:tcW w:w="629" w:type="pct"/>
          </w:tcPr>
          <w:p w14:paraId="51D4E6F7" w14:textId="77777777" w:rsidR="003D2968" w:rsidRPr="00F81528" w:rsidRDefault="003D2968" w:rsidP="00261C3F">
            <w:pPr>
              <w:pStyle w:val="Tablebodytext"/>
              <w:jc w:val="right"/>
            </w:pPr>
            <w:r w:rsidRPr="00927F0B">
              <w:t>5m 30s</w:t>
            </w:r>
          </w:p>
        </w:tc>
        <w:tc>
          <w:tcPr>
            <w:tcW w:w="631" w:type="pct"/>
          </w:tcPr>
          <w:p w14:paraId="6FAD6F77" w14:textId="77777777" w:rsidR="003D2968" w:rsidRPr="00F81528" w:rsidRDefault="003D2968" w:rsidP="00261C3F">
            <w:pPr>
              <w:pStyle w:val="Tablebodytext"/>
              <w:jc w:val="right"/>
            </w:pPr>
            <w:r w:rsidRPr="00927F0B">
              <w:t>4m 45s</w:t>
            </w:r>
          </w:p>
        </w:tc>
        <w:tc>
          <w:tcPr>
            <w:tcW w:w="629" w:type="pct"/>
            <w:shd w:val="clear" w:color="auto" w:fill="D9D9D9" w:themeFill="background1" w:themeFillShade="D9"/>
          </w:tcPr>
          <w:p w14:paraId="6B9A0AFC" w14:textId="77777777" w:rsidR="003D2968" w:rsidRPr="00F81528" w:rsidRDefault="003D2968" w:rsidP="00261C3F">
            <w:pPr>
              <w:pStyle w:val="Tablebodytext"/>
              <w:jc w:val="right"/>
            </w:pPr>
            <w:r w:rsidRPr="00927F0B">
              <w:t xml:space="preserve">36m </w:t>
            </w:r>
            <w:r>
              <w:t>0</w:t>
            </w:r>
            <w:r w:rsidRPr="00927F0B">
              <w:t>0s</w:t>
            </w:r>
          </w:p>
        </w:tc>
        <w:tc>
          <w:tcPr>
            <w:tcW w:w="629" w:type="pct"/>
          </w:tcPr>
          <w:p w14:paraId="0FA44EF9" w14:textId="77777777" w:rsidR="003D2968" w:rsidRPr="00F81528" w:rsidRDefault="003D2968" w:rsidP="00261C3F">
            <w:pPr>
              <w:pStyle w:val="Tablebodytext"/>
              <w:jc w:val="right"/>
            </w:pPr>
            <w:r w:rsidRPr="00927F0B">
              <w:t>5m 12s</w:t>
            </w:r>
          </w:p>
        </w:tc>
        <w:tc>
          <w:tcPr>
            <w:tcW w:w="597" w:type="pct"/>
          </w:tcPr>
          <w:p w14:paraId="2D766FD0" w14:textId="77777777" w:rsidR="003D2968" w:rsidRPr="00F81528" w:rsidRDefault="003D2968" w:rsidP="00261C3F">
            <w:pPr>
              <w:pStyle w:val="Tablebodytext"/>
              <w:jc w:val="right"/>
            </w:pPr>
            <w:r w:rsidRPr="00927F0B">
              <w:t>5m 12s</w:t>
            </w:r>
          </w:p>
        </w:tc>
      </w:tr>
      <w:tr w:rsidR="003D2968" w14:paraId="14886146" w14:textId="77777777" w:rsidTr="00261C3F">
        <w:tc>
          <w:tcPr>
            <w:tcW w:w="1257" w:type="pct"/>
            <w:tcMar>
              <w:right w:w="0" w:type="dxa"/>
            </w:tcMar>
          </w:tcPr>
          <w:p w14:paraId="74C86499" w14:textId="77777777" w:rsidR="003D2968" w:rsidRPr="00F81528" w:rsidRDefault="003D2968" w:rsidP="00261C3F">
            <w:pPr>
              <w:pStyle w:val="Tablebodytext"/>
            </w:pPr>
            <w:r w:rsidRPr="00927F0B">
              <w:t>9</w:t>
            </w:r>
            <w:r>
              <w:t>5</w:t>
            </w:r>
            <w:r w:rsidRPr="00927F0B">
              <w:t>% message delivery</w:t>
            </w:r>
            <w:r>
              <w:rPr>
                <w:rStyle w:val="FootnoteReference"/>
              </w:rPr>
              <w:footnoteReference w:id="1"/>
            </w:r>
          </w:p>
        </w:tc>
        <w:tc>
          <w:tcPr>
            <w:tcW w:w="628" w:type="pct"/>
            <w:shd w:val="clear" w:color="auto" w:fill="D9D9D9" w:themeFill="background1" w:themeFillShade="D9"/>
          </w:tcPr>
          <w:p w14:paraId="46C8307A" w14:textId="77777777" w:rsidR="003D2968" w:rsidRPr="00F81528" w:rsidRDefault="003D2968" w:rsidP="00261C3F">
            <w:pPr>
              <w:pStyle w:val="Tablebodytext"/>
              <w:jc w:val="right"/>
            </w:pPr>
            <w:r w:rsidRPr="00927F0B">
              <w:t>15m 0</w:t>
            </w:r>
            <w:r>
              <w:t>0</w:t>
            </w:r>
            <w:r w:rsidRPr="00927F0B">
              <w:t>s</w:t>
            </w:r>
          </w:p>
        </w:tc>
        <w:tc>
          <w:tcPr>
            <w:tcW w:w="629" w:type="pct"/>
          </w:tcPr>
          <w:p w14:paraId="08F88B92" w14:textId="77777777" w:rsidR="003D2968" w:rsidRPr="00F81528" w:rsidRDefault="003D2968" w:rsidP="00261C3F">
            <w:pPr>
              <w:pStyle w:val="Tablebodytext"/>
              <w:jc w:val="right"/>
            </w:pPr>
            <w:r w:rsidRPr="00927F0B">
              <w:t xml:space="preserve">10m </w:t>
            </w:r>
            <w:r>
              <w:t>0</w:t>
            </w:r>
            <w:r w:rsidRPr="00927F0B">
              <w:t>0s</w:t>
            </w:r>
          </w:p>
        </w:tc>
        <w:tc>
          <w:tcPr>
            <w:tcW w:w="631" w:type="pct"/>
          </w:tcPr>
          <w:p w14:paraId="420F0BF2" w14:textId="77777777" w:rsidR="003D2968" w:rsidRPr="00F81528" w:rsidRDefault="003D2968" w:rsidP="00261C3F">
            <w:pPr>
              <w:pStyle w:val="Tablebodytext"/>
              <w:jc w:val="right"/>
            </w:pPr>
            <w:r w:rsidRPr="00927F0B">
              <w:t xml:space="preserve">10m </w:t>
            </w:r>
            <w:r>
              <w:t>0</w:t>
            </w:r>
            <w:r w:rsidRPr="00927F0B">
              <w:t>0s</w:t>
            </w:r>
          </w:p>
        </w:tc>
        <w:tc>
          <w:tcPr>
            <w:tcW w:w="629" w:type="pct"/>
            <w:shd w:val="clear" w:color="auto" w:fill="D9D9D9" w:themeFill="background1" w:themeFillShade="D9"/>
          </w:tcPr>
          <w:p w14:paraId="564A2DB0" w14:textId="77777777" w:rsidR="003D2968" w:rsidRPr="00F81528" w:rsidRDefault="003D2968" w:rsidP="00261C3F">
            <w:pPr>
              <w:pStyle w:val="Tablebodytext"/>
              <w:jc w:val="right"/>
            </w:pPr>
            <w:r w:rsidRPr="00927F0B">
              <w:t xml:space="preserve">45m </w:t>
            </w:r>
            <w:r>
              <w:t>0</w:t>
            </w:r>
            <w:r w:rsidRPr="00927F0B">
              <w:t>0s</w:t>
            </w:r>
          </w:p>
        </w:tc>
        <w:tc>
          <w:tcPr>
            <w:tcW w:w="629" w:type="pct"/>
          </w:tcPr>
          <w:p w14:paraId="76C78C8E" w14:textId="77777777" w:rsidR="003D2968" w:rsidRPr="00F81528" w:rsidRDefault="003D2968" w:rsidP="00261C3F">
            <w:pPr>
              <w:pStyle w:val="Tablebodytext"/>
              <w:jc w:val="right"/>
            </w:pPr>
            <w:r w:rsidRPr="00927F0B">
              <w:t xml:space="preserve">8m </w:t>
            </w:r>
            <w:r>
              <w:t>0</w:t>
            </w:r>
            <w:r w:rsidRPr="00927F0B">
              <w:t>0s</w:t>
            </w:r>
          </w:p>
        </w:tc>
        <w:tc>
          <w:tcPr>
            <w:tcW w:w="597" w:type="pct"/>
          </w:tcPr>
          <w:p w14:paraId="606818B2" w14:textId="77777777" w:rsidR="003D2968" w:rsidRPr="00F81528" w:rsidRDefault="003D2968" w:rsidP="00261C3F">
            <w:pPr>
              <w:pStyle w:val="Tablebodytext"/>
              <w:jc w:val="right"/>
            </w:pPr>
            <w:r w:rsidRPr="00927F0B">
              <w:t xml:space="preserve">8m </w:t>
            </w:r>
            <w:r>
              <w:t>0</w:t>
            </w:r>
            <w:r w:rsidRPr="00927F0B">
              <w:t>0s</w:t>
            </w:r>
          </w:p>
        </w:tc>
      </w:tr>
    </w:tbl>
    <w:p w14:paraId="4F087087" w14:textId="77777777" w:rsidR="003D2968" w:rsidRDefault="003D2968" w:rsidP="003D2968"/>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ayout w:type="fixed"/>
        <w:tblLook w:val="04A0" w:firstRow="1" w:lastRow="0" w:firstColumn="1" w:lastColumn="0" w:noHBand="0" w:noVBand="1"/>
      </w:tblPr>
      <w:tblGrid>
        <w:gridCol w:w="2267"/>
        <w:gridCol w:w="1134"/>
        <w:gridCol w:w="1134"/>
        <w:gridCol w:w="1136"/>
        <w:gridCol w:w="1134"/>
        <w:gridCol w:w="1134"/>
        <w:gridCol w:w="1077"/>
      </w:tblGrid>
      <w:tr w:rsidR="003D2968" w:rsidRPr="00687160" w14:paraId="384F9A34" w14:textId="77777777" w:rsidTr="00261C3F">
        <w:trPr>
          <w:tblHeader/>
        </w:trPr>
        <w:tc>
          <w:tcPr>
            <w:tcW w:w="5000" w:type="pct"/>
            <w:gridSpan w:val="7"/>
            <w:shd w:val="clear" w:color="auto" w:fill="007C31"/>
          </w:tcPr>
          <w:p w14:paraId="11D1CA6E" w14:textId="77777777" w:rsidR="003D2968" w:rsidRDefault="003D2968" w:rsidP="00261C3F">
            <w:pPr>
              <w:pStyle w:val="Tabletitle"/>
            </w:pPr>
            <w:r>
              <w:t>Central and South Regions</w:t>
            </w:r>
          </w:p>
        </w:tc>
      </w:tr>
      <w:tr w:rsidR="003D2968" w:rsidRPr="00687160" w14:paraId="0A508950" w14:textId="77777777" w:rsidTr="00261C3F">
        <w:trPr>
          <w:tblHeader/>
        </w:trPr>
        <w:tc>
          <w:tcPr>
            <w:tcW w:w="1257" w:type="pct"/>
            <w:vMerge w:val="restart"/>
            <w:shd w:val="clear" w:color="auto" w:fill="auto"/>
          </w:tcPr>
          <w:p w14:paraId="60DB983A" w14:textId="77777777" w:rsidR="003D2968" w:rsidRDefault="003D2968" w:rsidP="00261C3F">
            <w:pPr>
              <w:pStyle w:val="Tablecolumheader"/>
            </w:pPr>
            <w:r>
              <w:t>Volume</w:t>
            </w:r>
          </w:p>
        </w:tc>
        <w:tc>
          <w:tcPr>
            <w:tcW w:w="1888" w:type="pct"/>
            <w:gridSpan w:val="3"/>
            <w:shd w:val="clear" w:color="auto" w:fill="auto"/>
          </w:tcPr>
          <w:p w14:paraId="636BD304" w14:textId="77777777" w:rsidR="003D2968" w:rsidRDefault="003D2968" w:rsidP="00261C3F">
            <w:pPr>
              <w:pStyle w:val="Tablecolumheader"/>
            </w:pPr>
            <w:r>
              <w:t>Power Outage Alert</w:t>
            </w:r>
          </w:p>
        </w:tc>
        <w:tc>
          <w:tcPr>
            <w:tcW w:w="1855" w:type="pct"/>
            <w:gridSpan w:val="3"/>
            <w:shd w:val="clear" w:color="auto" w:fill="auto"/>
          </w:tcPr>
          <w:p w14:paraId="3A8B3A83" w14:textId="77777777" w:rsidR="003D2968" w:rsidRPr="00687160" w:rsidRDefault="003D2968" w:rsidP="00261C3F">
            <w:pPr>
              <w:pStyle w:val="Tablecolumheader"/>
            </w:pPr>
            <w:r>
              <w:t>Power Restoration Performance</w:t>
            </w:r>
          </w:p>
        </w:tc>
      </w:tr>
      <w:tr w:rsidR="003D2968" w14:paraId="235127BA" w14:textId="77777777" w:rsidTr="00261C3F">
        <w:trPr>
          <w:tblHeader/>
        </w:trPr>
        <w:tc>
          <w:tcPr>
            <w:tcW w:w="1257" w:type="pct"/>
            <w:vMerge/>
          </w:tcPr>
          <w:p w14:paraId="4EB06DBF" w14:textId="77777777" w:rsidR="003D2968" w:rsidRDefault="003D2968" w:rsidP="00261C3F">
            <w:pPr>
              <w:pStyle w:val="Tablecolumheader"/>
            </w:pPr>
          </w:p>
        </w:tc>
        <w:tc>
          <w:tcPr>
            <w:tcW w:w="629" w:type="pct"/>
            <w:shd w:val="clear" w:color="auto" w:fill="D9D9D9" w:themeFill="background1" w:themeFillShade="D9"/>
          </w:tcPr>
          <w:p w14:paraId="616F0E41" w14:textId="77777777" w:rsidR="003D2968" w:rsidRDefault="003D2968" w:rsidP="00261C3F">
            <w:pPr>
              <w:pStyle w:val="Tablecolumheader"/>
            </w:pPr>
            <w:r>
              <w:t>Current</w:t>
            </w:r>
          </w:p>
        </w:tc>
        <w:tc>
          <w:tcPr>
            <w:tcW w:w="629" w:type="pct"/>
          </w:tcPr>
          <w:p w14:paraId="7C82B398" w14:textId="77777777" w:rsidR="003D2968" w:rsidRDefault="003D2968" w:rsidP="00261C3F">
            <w:pPr>
              <w:pStyle w:val="Tablecolumheader"/>
            </w:pPr>
            <w:r>
              <w:t>Option A</w:t>
            </w:r>
          </w:p>
        </w:tc>
        <w:tc>
          <w:tcPr>
            <w:tcW w:w="630" w:type="pct"/>
          </w:tcPr>
          <w:p w14:paraId="3D30C235" w14:textId="77777777" w:rsidR="003D2968" w:rsidRDefault="003D2968" w:rsidP="00261C3F">
            <w:pPr>
              <w:pStyle w:val="Tablecolumheader"/>
            </w:pPr>
            <w:r>
              <w:t>Option B</w:t>
            </w:r>
          </w:p>
        </w:tc>
        <w:tc>
          <w:tcPr>
            <w:tcW w:w="629" w:type="pct"/>
            <w:shd w:val="clear" w:color="auto" w:fill="D9D9D9" w:themeFill="background1" w:themeFillShade="D9"/>
          </w:tcPr>
          <w:p w14:paraId="12974BFD" w14:textId="77777777" w:rsidR="003D2968" w:rsidRDefault="003D2968" w:rsidP="00261C3F">
            <w:pPr>
              <w:pStyle w:val="Tablecolumheader"/>
            </w:pPr>
            <w:r>
              <w:t>Current</w:t>
            </w:r>
          </w:p>
        </w:tc>
        <w:tc>
          <w:tcPr>
            <w:tcW w:w="629" w:type="pct"/>
          </w:tcPr>
          <w:p w14:paraId="514AEF7E" w14:textId="77777777" w:rsidR="003D2968" w:rsidRPr="00687160" w:rsidRDefault="003D2968" w:rsidP="00261C3F">
            <w:pPr>
              <w:pStyle w:val="Tablecolumheader"/>
            </w:pPr>
            <w:r>
              <w:t>Option A</w:t>
            </w:r>
          </w:p>
        </w:tc>
        <w:tc>
          <w:tcPr>
            <w:tcW w:w="597" w:type="pct"/>
          </w:tcPr>
          <w:p w14:paraId="42D292A9" w14:textId="77777777" w:rsidR="003D2968" w:rsidRDefault="003D2968" w:rsidP="00261C3F">
            <w:pPr>
              <w:pStyle w:val="Tablecolumheader"/>
            </w:pPr>
            <w:r>
              <w:t>Option B</w:t>
            </w:r>
          </w:p>
        </w:tc>
      </w:tr>
      <w:tr w:rsidR="003D2968" w14:paraId="6E8A40B6" w14:textId="77777777" w:rsidTr="00261C3F">
        <w:tc>
          <w:tcPr>
            <w:tcW w:w="1257" w:type="pct"/>
          </w:tcPr>
          <w:p w14:paraId="7B6DC53C" w14:textId="77777777" w:rsidR="003D2968" w:rsidRPr="00F81528" w:rsidRDefault="003D2968" w:rsidP="00261C3F">
            <w:pPr>
              <w:pStyle w:val="Tablebodytext"/>
            </w:pPr>
            <w:r w:rsidRPr="00927F0B">
              <w:t>50% message delivery</w:t>
            </w:r>
          </w:p>
        </w:tc>
        <w:tc>
          <w:tcPr>
            <w:tcW w:w="629" w:type="pct"/>
            <w:shd w:val="clear" w:color="auto" w:fill="D9D9D9" w:themeFill="background1" w:themeFillShade="D9"/>
          </w:tcPr>
          <w:p w14:paraId="3D34979E" w14:textId="77777777" w:rsidR="003D2968" w:rsidRPr="00F81528" w:rsidRDefault="003D2968" w:rsidP="00261C3F">
            <w:pPr>
              <w:pStyle w:val="Tablebodytext"/>
              <w:jc w:val="right"/>
            </w:pPr>
            <w:r w:rsidRPr="00927F0B">
              <w:t>9m 15s</w:t>
            </w:r>
          </w:p>
        </w:tc>
        <w:tc>
          <w:tcPr>
            <w:tcW w:w="629" w:type="pct"/>
          </w:tcPr>
          <w:p w14:paraId="25A955F3" w14:textId="77777777" w:rsidR="003D2968" w:rsidRPr="00F81528" w:rsidRDefault="003D2968" w:rsidP="00261C3F">
            <w:pPr>
              <w:pStyle w:val="Tablebodytext"/>
              <w:jc w:val="right"/>
            </w:pPr>
            <w:r w:rsidRPr="00927F0B">
              <w:t>6m 30s</w:t>
            </w:r>
          </w:p>
        </w:tc>
        <w:tc>
          <w:tcPr>
            <w:tcW w:w="630" w:type="pct"/>
          </w:tcPr>
          <w:p w14:paraId="6C53250A" w14:textId="77777777" w:rsidR="003D2968" w:rsidRPr="00F81528" w:rsidRDefault="003D2968" w:rsidP="00261C3F">
            <w:pPr>
              <w:pStyle w:val="Tablebodytext"/>
              <w:jc w:val="right"/>
            </w:pPr>
            <w:r w:rsidRPr="00927F0B">
              <w:t>5m 30s</w:t>
            </w:r>
          </w:p>
        </w:tc>
        <w:tc>
          <w:tcPr>
            <w:tcW w:w="629" w:type="pct"/>
            <w:shd w:val="clear" w:color="auto" w:fill="D9D9D9" w:themeFill="background1" w:themeFillShade="D9"/>
          </w:tcPr>
          <w:p w14:paraId="4CC0E1B3" w14:textId="77777777" w:rsidR="003D2968" w:rsidRPr="00F81528" w:rsidRDefault="003D2968" w:rsidP="00261C3F">
            <w:pPr>
              <w:pStyle w:val="Tablebodytext"/>
              <w:jc w:val="right"/>
            </w:pPr>
            <w:r w:rsidRPr="00927F0B">
              <w:t>2m 40s</w:t>
            </w:r>
          </w:p>
        </w:tc>
        <w:tc>
          <w:tcPr>
            <w:tcW w:w="629" w:type="pct"/>
          </w:tcPr>
          <w:p w14:paraId="1E9F6D9D" w14:textId="77777777" w:rsidR="003D2968" w:rsidRPr="00F81528" w:rsidRDefault="003D2968" w:rsidP="00261C3F">
            <w:pPr>
              <w:pStyle w:val="Tablebodytext"/>
              <w:jc w:val="right"/>
            </w:pPr>
            <w:r w:rsidRPr="00927F0B">
              <w:t>2m 40s</w:t>
            </w:r>
          </w:p>
        </w:tc>
        <w:tc>
          <w:tcPr>
            <w:tcW w:w="597" w:type="pct"/>
          </w:tcPr>
          <w:p w14:paraId="653CF4DA" w14:textId="77777777" w:rsidR="003D2968" w:rsidRPr="00F81528" w:rsidRDefault="003D2968" w:rsidP="00261C3F">
            <w:pPr>
              <w:pStyle w:val="Tablebodytext"/>
              <w:jc w:val="right"/>
            </w:pPr>
            <w:r w:rsidRPr="00927F0B">
              <w:t>1m 50s</w:t>
            </w:r>
          </w:p>
        </w:tc>
      </w:tr>
      <w:tr w:rsidR="003D2968" w14:paraId="69845381" w14:textId="77777777" w:rsidTr="00261C3F">
        <w:tc>
          <w:tcPr>
            <w:tcW w:w="1257" w:type="pct"/>
          </w:tcPr>
          <w:p w14:paraId="48E16713" w14:textId="77777777" w:rsidR="003D2968" w:rsidRPr="00F81528" w:rsidRDefault="003D2968" w:rsidP="00261C3F">
            <w:pPr>
              <w:pStyle w:val="Tablebodytext"/>
            </w:pPr>
            <w:r w:rsidRPr="00927F0B">
              <w:t>80% message delivery</w:t>
            </w:r>
          </w:p>
        </w:tc>
        <w:tc>
          <w:tcPr>
            <w:tcW w:w="629" w:type="pct"/>
            <w:shd w:val="clear" w:color="auto" w:fill="D9D9D9" w:themeFill="background1" w:themeFillShade="D9"/>
          </w:tcPr>
          <w:p w14:paraId="0A3C1F8B" w14:textId="77777777" w:rsidR="003D2968" w:rsidRPr="00F81528" w:rsidRDefault="003D2968" w:rsidP="00261C3F">
            <w:pPr>
              <w:pStyle w:val="Tablebodytext"/>
              <w:jc w:val="right"/>
            </w:pPr>
            <w:r w:rsidRPr="00927F0B">
              <w:t xml:space="preserve">11m </w:t>
            </w:r>
            <w:r>
              <w:t>0</w:t>
            </w:r>
            <w:r w:rsidRPr="00927F0B">
              <w:t>0s</w:t>
            </w:r>
          </w:p>
        </w:tc>
        <w:tc>
          <w:tcPr>
            <w:tcW w:w="629" w:type="pct"/>
          </w:tcPr>
          <w:p w14:paraId="3F92D098" w14:textId="77777777" w:rsidR="003D2968" w:rsidRPr="00F81528" w:rsidRDefault="003D2968" w:rsidP="00261C3F">
            <w:pPr>
              <w:pStyle w:val="Tablebodytext"/>
              <w:jc w:val="right"/>
            </w:pPr>
            <w:r w:rsidRPr="00927F0B">
              <w:t>7m 12s</w:t>
            </w:r>
          </w:p>
        </w:tc>
        <w:tc>
          <w:tcPr>
            <w:tcW w:w="630" w:type="pct"/>
          </w:tcPr>
          <w:p w14:paraId="7E591A6D" w14:textId="77777777" w:rsidR="003D2968" w:rsidRPr="00F81528" w:rsidRDefault="003D2968" w:rsidP="00261C3F">
            <w:pPr>
              <w:pStyle w:val="Tablebodytext"/>
              <w:jc w:val="right"/>
            </w:pPr>
            <w:r w:rsidRPr="00927F0B">
              <w:t>6m 12s</w:t>
            </w:r>
          </w:p>
        </w:tc>
        <w:tc>
          <w:tcPr>
            <w:tcW w:w="629" w:type="pct"/>
            <w:shd w:val="clear" w:color="auto" w:fill="D9D9D9" w:themeFill="background1" w:themeFillShade="D9"/>
          </w:tcPr>
          <w:p w14:paraId="3B57C52E" w14:textId="77777777" w:rsidR="003D2968" w:rsidRPr="00F81528" w:rsidRDefault="003D2968" w:rsidP="00261C3F">
            <w:pPr>
              <w:pStyle w:val="Tablebodytext"/>
              <w:jc w:val="right"/>
            </w:pPr>
            <w:r w:rsidRPr="00927F0B">
              <w:t>3m 10s</w:t>
            </w:r>
          </w:p>
        </w:tc>
        <w:tc>
          <w:tcPr>
            <w:tcW w:w="629" w:type="pct"/>
          </w:tcPr>
          <w:p w14:paraId="313439AC" w14:textId="77777777" w:rsidR="003D2968" w:rsidRPr="00F81528" w:rsidRDefault="003D2968" w:rsidP="00261C3F">
            <w:pPr>
              <w:pStyle w:val="Tablebodytext"/>
              <w:jc w:val="right"/>
            </w:pPr>
            <w:r w:rsidRPr="00927F0B">
              <w:t>3m 10s</w:t>
            </w:r>
          </w:p>
        </w:tc>
        <w:tc>
          <w:tcPr>
            <w:tcW w:w="597" w:type="pct"/>
          </w:tcPr>
          <w:p w14:paraId="3B954BA9" w14:textId="77777777" w:rsidR="003D2968" w:rsidRPr="00F81528" w:rsidRDefault="003D2968" w:rsidP="00261C3F">
            <w:pPr>
              <w:pStyle w:val="Tablebodytext"/>
              <w:jc w:val="right"/>
            </w:pPr>
            <w:r w:rsidRPr="00927F0B">
              <w:t>2m 20s</w:t>
            </w:r>
          </w:p>
        </w:tc>
      </w:tr>
      <w:tr w:rsidR="003D2968" w14:paraId="02C13D07" w14:textId="77777777" w:rsidTr="00261C3F">
        <w:tc>
          <w:tcPr>
            <w:tcW w:w="1257" w:type="pct"/>
            <w:tcMar>
              <w:right w:w="0" w:type="dxa"/>
            </w:tcMar>
          </w:tcPr>
          <w:p w14:paraId="14847626" w14:textId="77777777" w:rsidR="003D2968" w:rsidRPr="00F81528" w:rsidRDefault="003D2968" w:rsidP="00261C3F">
            <w:pPr>
              <w:pStyle w:val="Tablebodytext"/>
            </w:pPr>
            <w:r w:rsidRPr="00927F0B">
              <w:t>99% message delivery</w:t>
            </w:r>
          </w:p>
        </w:tc>
        <w:tc>
          <w:tcPr>
            <w:tcW w:w="629" w:type="pct"/>
            <w:shd w:val="clear" w:color="auto" w:fill="D9D9D9" w:themeFill="background1" w:themeFillShade="D9"/>
          </w:tcPr>
          <w:p w14:paraId="38B55411" w14:textId="77777777" w:rsidR="003D2968" w:rsidRPr="00F81528" w:rsidRDefault="003D2968" w:rsidP="00261C3F">
            <w:pPr>
              <w:pStyle w:val="Tablebodytext"/>
              <w:jc w:val="right"/>
            </w:pPr>
            <w:r w:rsidRPr="00927F0B">
              <w:t xml:space="preserve">13m </w:t>
            </w:r>
            <w:r>
              <w:t>0</w:t>
            </w:r>
            <w:r w:rsidRPr="00927F0B">
              <w:t>0s</w:t>
            </w:r>
          </w:p>
        </w:tc>
        <w:tc>
          <w:tcPr>
            <w:tcW w:w="629" w:type="pct"/>
          </w:tcPr>
          <w:p w14:paraId="1F66D5DD" w14:textId="77777777" w:rsidR="003D2968" w:rsidRPr="00F81528" w:rsidRDefault="003D2968" w:rsidP="00261C3F">
            <w:pPr>
              <w:pStyle w:val="Tablebodytext"/>
              <w:jc w:val="right"/>
            </w:pPr>
            <w:r w:rsidRPr="00927F0B">
              <w:t xml:space="preserve">8m </w:t>
            </w:r>
            <w:r>
              <w:t>0</w:t>
            </w:r>
            <w:r w:rsidRPr="00927F0B">
              <w:t>0s</w:t>
            </w:r>
          </w:p>
        </w:tc>
        <w:tc>
          <w:tcPr>
            <w:tcW w:w="630" w:type="pct"/>
          </w:tcPr>
          <w:p w14:paraId="47272FEA" w14:textId="77777777" w:rsidR="003D2968" w:rsidRPr="00F81528" w:rsidRDefault="003D2968" w:rsidP="00261C3F">
            <w:pPr>
              <w:pStyle w:val="Tablebodytext"/>
              <w:jc w:val="right"/>
            </w:pPr>
            <w:r w:rsidRPr="00927F0B">
              <w:t xml:space="preserve">7m </w:t>
            </w:r>
            <w:r>
              <w:t>0</w:t>
            </w:r>
            <w:r w:rsidRPr="00927F0B">
              <w:t>0s</w:t>
            </w:r>
          </w:p>
        </w:tc>
        <w:tc>
          <w:tcPr>
            <w:tcW w:w="629" w:type="pct"/>
            <w:shd w:val="clear" w:color="auto" w:fill="D9D9D9" w:themeFill="background1" w:themeFillShade="D9"/>
          </w:tcPr>
          <w:p w14:paraId="4565F96D" w14:textId="77777777" w:rsidR="003D2968" w:rsidRPr="00F81528" w:rsidRDefault="003D2968" w:rsidP="00261C3F">
            <w:pPr>
              <w:pStyle w:val="Tablebodytext"/>
              <w:jc w:val="right"/>
            </w:pPr>
            <w:r w:rsidRPr="00927F0B">
              <w:t>3m 30s</w:t>
            </w:r>
          </w:p>
        </w:tc>
        <w:tc>
          <w:tcPr>
            <w:tcW w:w="629" w:type="pct"/>
          </w:tcPr>
          <w:p w14:paraId="741EA722" w14:textId="77777777" w:rsidR="003D2968" w:rsidRPr="00F81528" w:rsidRDefault="003D2968" w:rsidP="00261C3F">
            <w:pPr>
              <w:pStyle w:val="Tablebodytext"/>
              <w:jc w:val="right"/>
            </w:pPr>
            <w:r w:rsidRPr="00927F0B">
              <w:t>3m 30s</w:t>
            </w:r>
          </w:p>
        </w:tc>
        <w:tc>
          <w:tcPr>
            <w:tcW w:w="597" w:type="pct"/>
          </w:tcPr>
          <w:p w14:paraId="56FEA9B4" w14:textId="77777777" w:rsidR="003D2968" w:rsidRPr="00F81528" w:rsidRDefault="003D2968" w:rsidP="00261C3F">
            <w:pPr>
              <w:pStyle w:val="Tablebodytext"/>
              <w:jc w:val="right"/>
            </w:pPr>
            <w:r w:rsidRPr="00927F0B">
              <w:t xml:space="preserve">3m </w:t>
            </w:r>
            <w:r>
              <w:t>0</w:t>
            </w:r>
            <w:r w:rsidRPr="00927F0B">
              <w:t>0s</w:t>
            </w:r>
          </w:p>
        </w:tc>
      </w:tr>
    </w:tbl>
    <w:p w14:paraId="3A143552" w14:textId="1A2C60DB" w:rsidR="003D2968" w:rsidRDefault="003D2968" w:rsidP="00F85CE1"/>
    <w:p w14:paraId="3ABD0FA9" w14:textId="14D7B418" w:rsidR="00F83D10" w:rsidRDefault="00F83D10" w:rsidP="00F83D10">
      <w:pPr>
        <w:pStyle w:val="Subheading"/>
      </w:pPr>
      <w:r>
        <w:t>Option 2 ‘</w:t>
      </w:r>
      <w:r w:rsidRPr="00F83D10">
        <w:t>Change the SEC to current DCC performance</w:t>
      </w:r>
      <w:r>
        <w:t>’</w:t>
      </w:r>
    </w:p>
    <w:p w14:paraId="7AAEF5A5" w14:textId="52E22714" w:rsidR="003151DC" w:rsidRDefault="003D2968" w:rsidP="00F85CE1">
      <w:r>
        <w:t xml:space="preserve">SECAS provided the Working Group with the summarised responses to Option 2. A Network Party representative stated that all Network Parties want the DCC to remeasure current </w:t>
      </w:r>
      <w:r w:rsidR="00171DEA">
        <w:t xml:space="preserve">performance over a longer </w:t>
      </w:r>
      <w:r w:rsidR="00DF17BF">
        <w:t>period</w:t>
      </w:r>
      <w:r w:rsidR="00171DEA">
        <w:t>. It was agreed that this would be required before the Working Group could advise on which proposed solution option should be taken forward. The DCC confirmed that the previous measurements used in the Technical Study were measured at one point in time</w:t>
      </w:r>
      <w:r>
        <w:t xml:space="preserve"> </w:t>
      </w:r>
      <w:r w:rsidR="00171DEA">
        <w:t>and agreed to provide further analysis.</w:t>
      </w:r>
    </w:p>
    <w:p w14:paraId="104E7C99" w14:textId="3C9636F0" w:rsidR="00F83D10" w:rsidRDefault="00F83D10" w:rsidP="00F83D10">
      <w:pPr>
        <w:pStyle w:val="Subheading"/>
      </w:pPr>
      <w:r>
        <w:t>Option 3 ‘</w:t>
      </w:r>
      <w:r w:rsidRPr="00F83D10">
        <w:t>Change the SEC to current DCC performance</w:t>
      </w:r>
      <w:r>
        <w:t>’</w:t>
      </w:r>
    </w:p>
    <w:p w14:paraId="38697E5C" w14:textId="015A2291" w:rsidR="00277979" w:rsidRDefault="00171DEA" w:rsidP="00F85CE1">
      <w:r>
        <w:t>SECAS provided the Working Group with a summary of Option 3 responses.</w:t>
      </w:r>
      <w:r w:rsidR="00277979">
        <w:t xml:space="preserve"> A Working Group member queried how confident the DCC are that the SEC requirement of sending Alerts within 60 seconds could be met. The DCC responded to state that it cannot be met. The DCC summarise</w:t>
      </w:r>
      <w:r w:rsidR="00DF17BF">
        <w:t>d</w:t>
      </w:r>
      <w:r w:rsidR="00277979">
        <w:t xml:space="preserve"> the work undertaken in the Technical Study whereby </w:t>
      </w:r>
      <w:r w:rsidR="00DF17BF">
        <w:t>it</w:t>
      </w:r>
      <w:r w:rsidR="00277979">
        <w:t xml:space="preserve"> investigated the issue in fine detail and created 26 Change Requests that would help address the multiple facets of the issue. These 26 Change </w:t>
      </w:r>
      <w:r w:rsidR="003151DC">
        <w:t>R</w:t>
      </w:r>
      <w:r w:rsidR="00277979">
        <w:t>equests have then been analysed and grouped together under Option 3A and 3B</w:t>
      </w:r>
      <w:r w:rsidR="00797BA4">
        <w:t xml:space="preserve"> based on costs/benefits</w:t>
      </w:r>
      <w:r w:rsidR="00277979">
        <w:t>.</w:t>
      </w:r>
    </w:p>
    <w:p w14:paraId="626AE28C" w14:textId="168389B2" w:rsidR="005278BD" w:rsidRDefault="00A515A8" w:rsidP="00F85CE1">
      <w:r>
        <w:t xml:space="preserve">Concerns were raised surrounding the cost reduction from when the Technical Study was completed to when the RFI was issued. The costs contained within the RFI are up to Pre-Integration Testing (PIT), whereas those in the Technical Study Paper included implementation costs. The DCC </w:t>
      </w:r>
      <w:r>
        <w:lastRenderedPageBreak/>
        <w:t>commented that any post-PIT costs would be spread amongst other SEC Modifications/DCC Change Requests</w:t>
      </w:r>
      <w:r w:rsidR="008059A7">
        <w:t xml:space="preserve"> being implemented within the same SEC Release. A </w:t>
      </w:r>
      <w:r w:rsidR="00DF17BF">
        <w:t xml:space="preserve">Department of Business, </w:t>
      </w:r>
      <w:proofErr w:type="gramStart"/>
      <w:r w:rsidR="00DF17BF">
        <w:t>Energy</w:t>
      </w:r>
      <w:proofErr w:type="gramEnd"/>
      <w:r w:rsidR="00DF17BF">
        <w:t xml:space="preserve"> and Industrial Strategy (</w:t>
      </w:r>
      <w:r w:rsidR="008059A7">
        <w:t>BEIS</w:t>
      </w:r>
      <w:r w:rsidR="00DF17BF">
        <w:t>)</w:t>
      </w:r>
      <w:r w:rsidR="008059A7">
        <w:t xml:space="preserve"> representative requested that further transparency surrounding costs should be discussed at the next Working Group session.</w:t>
      </w:r>
      <w:r w:rsidR="00277979">
        <w:t xml:space="preserve"> </w:t>
      </w:r>
    </w:p>
    <w:p w14:paraId="13172BD9" w14:textId="69F3EB4A" w:rsidR="00F83D10" w:rsidRDefault="00F83D10" w:rsidP="00F83D10">
      <w:pPr>
        <w:pStyle w:val="Subheading"/>
      </w:pPr>
      <w:r>
        <w:t>Alternative solution</w:t>
      </w:r>
    </w:p>
    <w:p w14:paraId="3C7B2F04" w14:textId="064B9B6C" w:rsidR="00171DEA" w:rsidRDefault="008059A7" w:rsidP="00F85CE1">
      <w:r>
        <w:t xml:space="preserve">SECAS informed the Working Group of the alternative solution put forward by a Network Party. This is a derivative of Option 2, whereby the proposal is to </w:t>
      </w:r>
      <w:r w:rsidR="00AC05C8">
        <w:t>amend the SEC to match the performance stated in the CSP contracts. The DCC commented that a misinterpretation may have taken place as current performance already exceeds what is stated in the CSP contracts. A Network Party representative stated that this should be corrected to current capability instead. SECAS will confirm this with the proposer of the alternative solution option.</w:t>
      </w:r>
    </w:p>
    <w:p w14:paraId="2D0169C1" w14:textId="068CE60D" w:rsidR="00F83D10" w:rsidRDefault="00F83D10" w:rsidP="00F83D10">
      <w:pPr>
        <w:pStyle w:val="Subheading"/>
      </w:pPr>
      <w:r>
        <w:t xml:space="preserve">Conclusion </w:t>
      </w:r>
    </w:p>
    <w:p w14:paraId="1BF10BC1" w14:textId="2193ADF9" w:rsidR="00AC05C8" w:rsidRDefault="00AC05C8" w:rsidP="00F85CE1">
      <w:r>
        <w:t xml:space="preserve">SECAS informed the Working </w:t>
      </w:r>
      <w:r w:rsidR="004B7E54">
        <w:t>Group of the proposed next steps which include the DCC carrying out cost-based risk-benefit analysis on Option 2, 3A and 3B, setting out the measurement framework for Option 2 and then take MP096 to the Operations Group (OPSG), Technical Architecture and Business Architecture Sub-Committee (TABASC) and return to the Working Group. The DCC also added that they will look to add clarification to the Network Evolution Programme scope.</w:t>
      </w:r>
    </w:p>
    <w:p w14:paraId="776BDF4E" w14:textId="77777777" w:rsidR="00490947" w:rsidRDefault="00490947" w:rsidP="00F556BC">
      <w:pPr>
        <w:pStyle w:val="Subtitle"/>
      </w:pPr>
      <w:r>
        <w:t>Next Steps</w:t>
      </w:r>
    </w:p>
    <w:p w14:paraId="0062A635" w14:textId="6CCCE1CD" w:rsidR="00490947" w:rsidRDefault="00490947" w:rsidP="00490947">
      <w:pPr>
        <w:rPr>
          <w:szCs w:val="20"/>
        </w:rPr>
      </w:pPr>
      <w:r>
        <w:rPr>
          <w:szCs w:val="20"/>
        </w:rPr>
        <w:t>The following action</w:t>
      </w:r>
      <w:r w:rsidR="000126A7">
        <w:rPr>
          <w:szCs w:val="20"/>
        </w:rPr>
        <w:t>s</w:t>
      </w:r>
      <w:r>
        <w:rPr>
          <w:szCs w:val="20"/>
        </w:rPr>
        <w:t xml:space="preserve"> </w:t>
      </w:r>
      <w:r w:rsidR="009949FA">
        <w:rPr>
          <w:szCs w:val="20"/>
        </w:rPr>
        <w:t xml:space="preserve">were </w:t>
      </w:r>
      <w:r>
        <w:rPr>
          <w:szCs w:val="20"/>
        </w:rPr>
        <w:t>recorded from the meeting:</w:t>
      </w:r>
    </w:p>
    <w:p w14:paraId="79A55309" w14:textId="2460BD60" w:rsidR="000F16D0" w:rsidRDefault="00843EE7" w:rsidP="00E152A7">
      <w:pPr>
        <w:pStyle w:val="ListParagraph"/>
      </w:pPr>
      <w:r>
        <w:t>DCC to provide cost-based risk-benefit analysis on Option 2, 3A and 3B.</w:t>
      </w:r>
    </w:p>
    <w:p w14:paraId="2E4DCF29" w14:textId="57AA4C3A" w:rsidR="00843EE7" w:rsidRDefault="00843EE7" w:rsidP="00E152A7">
      <w:pPr>
        <w:pStyle w:val="ListParagraph"/>
      </w:pPr>
      <w:r>
        <w:t>DCC to produce measurement framework for Option 2.</w:t>
      </w:r>
    </w:p>
    <w:p w14:paraId="3B3B2689" w14:textId="191A5098" w:rsidR="00843EE7" w:rsidRDefault="00843EE7" w:rsidP="00E152A7">
      <w:pPr>
        <w:pStyle w:val="ListParagraph"/>
      </w:pPr>
      <w:r>
        <w:t>DCC to outline current scope of Network Evolution Programme.</w:t>
      </w:r>
    </w:p>
    <w:p w14:paraId="21929350" w14:textId="0B75B7D2" w:rsidR="00864CF8" w:rsidRDefault="00864CF8" w:rsidP="00E152A7">
      <w:pPr>
        <w:pStyle w:val="ListParagraph"/>
      </w:pPr>
      <w:r>
        <w:t>SECAS to clarify the intent of the Network Party response</w:t>
      </w:r>
    </w:p>
    <w:p w14:paraId="2CC8AD46" w14:textId="2A3D187C" w:rsidR="00843EE7" w:rsidRPr="003423F3" w:rsidRDefault="00843EE7" w:rsidP="00E152A7">
      <w:pPr>
        <w:pStyle w:val="ListParagraph"/>
      </w:pPr>
      <w:r>
        <w:t>MP096 to be discussed in further detail at July Working Group, as well as OPSG and TABASC.</w:t>
      </w:r>
    </w:p>
    <w:sectPr w:rsidR="00843EE7" w:rsidRPr="003423F3" w:rsidSect="00633F6B">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DA1B" w14:textId="77777777" w:rsidR="00FB6C52" w:rsidRDefault="00FB6C52" w:rsidP="004F458B">
      <w:pPr>
        <w:spacing w:after="0" w:line="240" w:lineRule="auto"/>
      </w:pPr>
      <w:r>
        <w:separator/>
      </w:r>
    </w:p>
  </w:endnote>
  <w:endnote w:type="continuationSeparator" w:id="0">
    <w:p w14:paraId="7207AE99" w14:textId="77777777" w:rsidR="00FB6C52" w:rsidRDefault="00FB6C52"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3034"/>
      <w:gridCol w:w="2997"/>
    </w:tblGrid>
    <w:tr w:rsidR="00800AF2" w:rsidRPr="00633F6B" w14:paraId="28F8F56D" w14:textId="77777777" w:rsidTr="00481DA5">
      <w:trPr>
        <w:trHeight w:val="77"/>
      </w:trPr>
      <w:tc>
        <w:tcPr>
          <w:tcW w:w="2995" w:type="dxa"/>
        </w:tcPr>
        <w:p w14:paraId="2C947513" w14:textId="77777777" w:rsidR="00800AF2" w:rsidRPr="00633F6B" w:rsidRDefault="00800AF2" w:rsidP="000D492D">
          <w:pPr>
            <w:pStyle w:val="Footer"/>
            <w:rPr>
              <w:rFonts w:cs="Arial"/>
              <w:color w:val="595959" w:themeColor="text1" w:themeTint="A6"/>
              <w:sz w:val="16"/>
              <w:szCs w:val="16"/>
            </w:rPr>
          </w:pPr>
        </w:p>
      </w:tc>
      <w:tc>
        <w:tcPr>
          <w:tcW w:w="3034" w:type="dxa"/>
          <w:vMerge w:val="restart"/>
          <w:vAlign w:val="center"/>
        </w:tcPr>
        <w:p w14:paraId="565C2727" w14:textId="77777777" w:rsidR="00800AF2" w:rsidRPr="00633F6B" w:rsidRDefault="00B13710" w:rsidP="00B13710">
          <w:pPr>
            <w:pStyle w:val="Footer"/>
            <w:jc w:val="center"/>
            <w:rPr>
              <w:rFonts w:cs="Arial"/>
              <w:color w:val="595959" w:themeColor="text1" w:themeTint="A6"/>
              <w:sz w:val="16"/>
              <w:szCs w:val="16"/>
            </w:rPr>
          </w:pPr>
          <w:r>
            <w:rPr>
              <w:noProof/>
            </w:rPr>
            <w:drawing>
              <wp:inline distT="0" distB="0" distL="0" distR="0" wp14:anchorId="7B478782" wp14:editId="022673ED">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7" w:type="dxa"/>
        </w:tcPr>
        <w:p w14:paraId="2856E76C" w14:textId="77777777" w:rsidR="00800AF2" w:rsidRPr="00633F6B" w:rsidRDefault="00800AF2" w:rsidP="00633F6B">
          <w:pPr>
            <w:pStyle w:val="Footer"/>
            <w:jc w:val="right"/>
            <w:rPr>
              <w:rFonts w:cs="Arial"/>
              <w:color w:val="595959" w:themeColor="text1" w:themeTint="A6"/>
              <w:sz w:val="16"/>
              <w:szCs w:val="16"/>
            </w:rPr>
          </w:pPr>
        </w:p>
      </w:tc>
    </w:tr>
    <w:tr w:rsidR="00800AF2" w:rsidRPr="00633F6B" w14:paraId="0F18E0D4" w14:textId="77777777" w:rsidTr="00800AF2">
      <w:trPr>
        <w:trHeight w:val="540"/>
      </w:trPr>
      <w:tc>
        <w:tcPr>
          <w:tcW w:w="2995" w:type="dxa"/>
        </w:tcPr>
        <w:p w14:paraId="71EC0C3E" w14:textId="6F8EC555" w:rsidR="00800AF2" w:rsidRDefault="00800AF2" w:rsidP="000D492D">
          <w:pPr>
            <w:pStyle w:val="Footer"/>
            <w:rPr>
              <w:rFonts w:cs="Arial"/>
              <w:color w:val="595959" w:themeColor="text1" w:themeTint="A6"/>
              <w:sz w:val="16"/>
              <w:szCs w:val="16"/>
            </w:rPr>
          </w:pPr>
          <w:r>
            <w:rPr>
              <w:rFonts w:cs="Arial"/>
              <w:color w:val="595959" w:themeColor="text1" w:themeTint="A6"/>
              <w:sz w:val="16"/>
              <w:szCs w:val="16"/>
            </w:rPr>
            <w:t>MP</w:t>
          </w:r>
          <w:r w:rsidR="00173D84">
            <w:rPr>
              <w:rFonts w:cs="Arial"/>
              <w:color w:val="595959" w:themeColor="text1" w:themeTint="A6"/>
              <w:sz w:val="16"/>
              <w:szCs w:val="16"/>
            </w:rPr>
            <w:t>096</w:t>
          </w:r>
          <w:r>
            <w:rPr>
              <w:rFonts w:cs="Arial"/>
              <w:color w:val="595959" w:themeColor="text1" w:themeTint="A6"/>
              <w:sz w:val="16"/>
              <w:szCs w:val="16"/>
            </w:rPr>
            <w:t xml:space="preserve"> </w:t>
          </w:r>
          <w:r w:rsidR="00B13710">
            <w:rPr>
              <w:rFonts w:cs="Arial"/>
              <w:color w:val="595959" w:themeColor="text1" w:themeTint="A6"/>
              <w:sz w:val="16"/>
              <w:szCs w:val="16"/>
            </w:rPr>
            <w:t xml:space="preserve">– </w:t>
          </w:r>
          <w:r w:rsidR="00F83D10">
            <w:rPr>
              <w:rFonts w:cs="Arial"/>
              <w:color w:val="595959" w:themeColor="text1" w:themeTint="A6"/>
              <w:sz w:val="16"/>
              <w:szCs w:val="16"/>
            </w:rPr>
            <w:t>June</w:t>
          </w:r>
          <w:r w:rsidR="003B12CA">
            <w:rPr>
              <w:rFonts w:cs="Arial"/>
              <w:color w:val="595959" w:themeColor="text1" w:themeTint="A6"/>
              <w:sz w:val="16"/>
              <w:szCs w:val="16"/>
            </w:rPr>
            <w:t xml:space="preserve"> 2021</w:t>
          </w:r>
          <w:r w:rsidR="00F8182D">
            <w:rPr>
              <w:rFonts w:cs="Arial"/>
              <w:color w:val="595959" w:themeColor="text1" w:themeTint="A6"/>
              <w:sz w:val="16"/>
              <w:szCs w:val="16"/>
            </w:rPr>
            <w:t xml:space="preserve"> </w:t>
          </w:r>
          <w:r>
            <w:rPr>
              <w:rFonts w:cs="Arial"/>
              <w:color w:val="595959" w:themeColor="text1" w:themeTint="A6"/>
              <w:sz w:val="16"/>
              <w:szCs w:val="16"/>
            </w:rPr>
            <w:t xml:space="preserve">Working Group </w:t>
          </w:r>
          <w:r w:rsidR="00B13710">
            <w:rPr>
              <w:rFonts w:cs="Arial"/>
              <w:color w:val="595959" w:themeColor="text1" w:themeTint="A6"/>
              <w:sz w:val="16"/>
              <w:szCs w:val="16"/>
            </w:rPr>
            <w:t>m</w:t>
          </w:r>
          <w:r>
            <w:rPr>
              <w:rFonts w:cs="Arial"/>
              <w:color w:val="595959" w:themeColor="text1" w:themeTint="A6"/>
              <w:sz w:val="16"/>
              <w:szCs w:val="16"/>
            </w:rPr>
            <w:t xml:space="preserve">eeting </w:t>
          </w:r>
          <w:r w:rsidR="00B13710">
            <w:rPr>
              <w:rFonts w:cs="Arial"/>
              <w:color w:val="595959" w:themeColor="text1" w:themeTint="A6"/>
              <w:sz w:val="16"/>
              <w:szCs w:val="16"/>
            </w:rPr>
            <w:t>s</w:t>
          </w:r>
          <w:r>
            <w:rPr>
              <w:rFonts w:cs="Arial"/>
              <w:color w:val="595959" w:themeColor="text1" w:themeTint="A6"/>
              <w:sz w:val="16"/>
              <w:szCs w:val="16"/>
            </w:rPr>
            <w:t>ummary</w:t>
          </w:r>
        </w:p>
      </w:tc>
      <w:tc>
        <w:tcPr>
          <w:tcW w:w="3034" w:type="dxa"/>
          <w:vMerge/>
        </w:tcPr>
        <w:p w14:paraId="079EA8D4" w14:textId="77777777" w:rsidR="00800AF2" w:rsidRDefault="00800AF2" w:rsidP="00633F6B">
          <w:pPr>
            <w:pStyle w:val="Footer"/>
            <w:jc w:val="center"/>
            <w:rPr>
              <w:noProof/>
              <w:lang w:eastAsia="en-GB"/>
            </w:rPr>
          </w:pPr>
        </w:p>
      </w:tc>
      <w:tc>
        <w:tcPr>
          <w:tcW w:w="2997" w:type="dxa"/>
        </w:tcPr>
        <w:p w14:paraId="6CBF7BB2" w14:textId="77777777" w:rsidR="00800AF2" w:rsidRDefault="00800AF2" w:rsidP="00800AF2">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p>
        <w:p w14:paraId="08F93BBA" w14:textId="77777777" w:rsidR="00800AF2" w:rsidRDefault="00800AF2" w:rsidP="00800AF2">
          <w:pPr>
            <w:pStyle w:val="Footer"/>
            <w:jc w:val="right"/>
            <w:rPr>
              <w:rFonts w:cs="Arial"/>
              <w:color w:val="595959" w:themeColor="text1" w:themeTint="A6"/>
              <w:sz w:val="16"/>
              <w:szCs w:val="16"/>
            </w:rPr>
          </w:pPr>
        </w:p>
        <w:p w14:paraId="5C74FCF3" w14:textId="77777777" w:rsidR="00800AF2" w:rsidRPr="00633F6B" w:rsidRDefault="00800AF2" w:rsidP="00800AF2">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3423F3">
            <w:rPr>
              <w:rFonts w:cs="Arial"/>
              <w:b/>
              <w:color w:val="auto"/>
              <w:sz w:val="16"/>
              <w:szCs w:val="16"/>
            </w:rPr>
            <w:t>White</w:t>
          </w:r>
        </w:p>
      </w:tc>
    </w:tr>
  </w:tbl>
  <w:p w14:paraId="4875E3BB" w14:textId="77777777" w:rsidR="00DB0807" w:rsidRPr="00633F6B" w:rsidRDefault="00DB0807"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9A83" w14:textId="77777777" w:rsidR="00FB6C52" w:rsidRDefault="00FB6C52" w:rsidP="004F458B">
      <w:pPr>
        <w:spacing w:after="0" w:line="240" w:lineRule="auto"/>
      </w:pPr>
      <w:r>
        <w:separator/>
      </w:r>
    </w:p>
  </w:footnote>
  <w:footnote w:type="continuationSeparator" w:id="0">
    <w:p w14:paraId="072ADF65" w14:textId="77777777" w:rsidR="00FB6C52" w:rsidRDefault="00FB6C52" w:rsidP="004F458B">
      <w:pPr>
        <w:spacing w:after="0" w:line="240" w:lineRule="auto"/>
      </w:pPr>
      <w:r>
        <w:continuationSeparator/>
      </w:r>
    </w:p>
  </w:footnote>
  <w:footnote w:id="1">
    <w:p w14:paraId="4A4EF8D4" w14:textId="77777777" w:rsidR="003D2968" w:rsidRPr="0054766A" w:rsidRDefault="003D2968" w:rsidP="003D2968">
      <w:pPr>
        <w:pStyle w:val="FootnoteText"/>
        <w:rPr>
          <w:sz w:val="16"/>
          <w:szCs w:val="16"/>
        </w:rPr>
      </w:pPr>
      <w:r>
        <w:rPr>
          <w:rStyle w:val="FootnoteReference"/>
        </w:rPr>
        <w:footnoteRef/>
      </w:r>
      <w:r>
        <w:t xml:space="preserve"> </w:t>
      </w:r>
      <w:r w:rsidRPr="0054766A">
        <w:rPr>
          <w:sz w:val="16"/>
          <w:szCs w:val="16"/>
        </w:rPr>
        <w:t xml:space="preserve">The North Region has a maximum 95% Alert message delivery due to message collision and data loss (this is when the system </w:t>
      </w:r>
      <w:proofErr w:type="gramStart"/>
      <w:r w:rsidRPr="0054766A">
        <w:rPr>
          <w:sz w:val="16"/>
          <w:szCs w:val="16"/>
        </w:rPr>
        <w:t>can’t</w:t>
      </w:r>
      <w:proofErr w:type="gramEnd"/>
      <w:r w:rsidRPr="0054766A">
        <w:rPr>
          <w:sz w:val="16"/>
          <w:szCs w:val="16"/>
        </w:rPr>
        <w:t xml:space="preserve"> handle the volume of data and starts to lose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9519" w14:textId="77777777" w:rsidR="003E558E" w:rsidRDefault="003E558E" w:rsidP="003E558E">
    <w:pPr>
      <w:pStyle w:val="Header"/>
      <w:jc w:val="right"/>
    </w:pPr>
    <w:r w:rsidRPr="003E558E">
      <w:rPr>
        <w:noProof/>
        <w:lang w:eastAsia="en-GB"/>
      </w:rPr>
      <w:drawing>
        <wp:inline distT="0" distB="0" distL="0" distR="0" wp14:anchorId="182DE48E" wp14:editId="33A5D0C9">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20731"/>
    <w:multiLevelType w:val="hybridMultilevel"/>
    <w:tmpl w:val="735AA702"/>
    <w:lvl w:ilvl="0" w:tplc="16BA518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72FEA"/>
    <w:multiLevelType w:val="hybridMultilevel"/>
    <w:tmpl w:val="CDA02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A835BD"/>
    <w:multiLevelType w:val="hybridMultilevel"/>
    <w:tmpl w:val="B3DC7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num w:numId="1">
    <w:abstractNumId w:val="4"/>
  </w:num>
  <w:num w:numId="2">
    <w:abstractNumId w:val="1"/>
  </w:num>
  <w:num w:numId="3">
    <w:abstractNumId w:val="2"/>
  </w:num>
  <w:num w:numId="4">
    <w:abstractNumId w:val="6"/>
  </w:num>
  <w:num w:numId="5">
    <w:abstractNumId w:val="0"/>
  </w:num>
  <w:num w:numId="6">
    <w:abstractNumId w:val="5"/>
  </w:num>
  <w:num w:numId="7">
    <w:abstractNumId w:val="2"/>
  </w:num>
  <w:num w:numId="8">
    <w:abstractNumId w:val="2"/>
  </w:num>
  <w:num w:numId="9">
    <w:abstractNumId w:val="3"/>
  </w:num>
  <w:num w:numId="10">
    <w:abstractNumId w:val="2"/>
  </w:num>
  <w:num w:numId="11">
    <w:abstractNumId w:val="2"/>
  </w:num>
  <w:num w:numId="12">
    <w:abstractNumId w:val="2"/>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29"/>
    <w:rsid w:val="000055AC"/>
    <w:rsid w:val="000059A4"/>
    <w:rsid w:val="000126A7"/>
    <w:rsid w:val="00017658"/>
    <w:rsid w:val="00020BA4"/>
    <w:rsid w:val="000258B3"/>
    <w:rsid w:val="00040EF3"/>
    <w:rsid w:val="00055297"/>
    <w:rsid w:val="00057CF0"/>
    <w:rsid w:val="000622C0"/>
    <w:rsid w:val="00067AFA"/>
    <w:rsid w:val="00075828"/>
    <w:rsid w:val="00091612"/>
    <w:rsid w:val="000A0440"/>
    <w:rsid w:val="000A3363"/>
    <w:rsid w:val="000B05C0"/>
    <w:rsid w:val="000B30A4"/>
    <w:rsid w:val="000B4FAB"/>
    <w:rsid w:val="000C423C"/>
    <w:rsid w:val="000C49C1"/>
    <w:rsid w:val="000C5748"/>
    <w:rsid w:val="000D0828"/>
    <w:rsid w:val="000D492D"/>
    <w:rsid w:val="000D7BCC"/>
    <w:rsid w:val="000E1170"/>
    <w:rsid w:val="000E330B"/>
    <w:rsid w:val="000E661D"/>
    <w:rsid w:val="000E6A3C"/>
    <w:rsid w:val="000E6DD9"/>
    <w:rsid w:val="000F01A9"/>
    <w:rsid w:val="000F16D0"/>
    <w:rsid w:val="000F3436"/>
    <w:rsid w:val="000F4376"/>
    <w:rsid w:val="000F75DB"/>
    <w:rsid w:val="00102237"/>
    <w:rsid w:val="0010448B"/>
    <w:rsid w:val="00152E20"/>
    <w:rsid w:val="001530DA"/>
    <w:rsid w:val="0015743D"/>
    <w:rsid w:val="001636D8"/>
    <w:rsid w:val="00171DEA"/>
    <w:rsid w:val="00173D84"/>
    <w:rsid w:val="001855DA"/>
    <w:rsid w:val="00192FAC"/>
    <w:rsid w:val="00193AA5"/>
    <w:rsid w:val="00196A93"/>
    <w:rsid w:val="001C32E8"/>
    <w:rsid w:val="001C63F9"/>
    <w:rsid w:val="001E3A8A"/>
    <w:rsid w:val="001E4249"/>
    <w:rsid w:val="001E5C72"/>
    <w:rsid w:val="00221A27"/>
    <w:rsid w:val="002357F7"/>
    <w:rsid w:val="0024177C"/>
    <w:rsid w:val="00251BB8"/>
    <w:rsid w:val="00251E29"/>
    <w:rsid w:val="00255929"/>
    <w:rsid w:val="00260DC6"/>
    <w:rsid w:val="002636BA"/>
    <w:rsid w:val="0026436B"/>
    <w:rsid w:val="00267F7B"/>
    <w:rsid w:val="00277979"/>
    <w:rsid w:val="00283D8C"/>
    <w:rsid w:val="002925A9"/>
    <w:rsid w:val="002A0870"/>
    <w:rsid w:val="002A46ED"/>
    <w:rsid w:val="002A76CA"/>
    <w:rsid w:val="002C12CA"/>
    <w:rsid w:val="002E0EC9"/>
    <w:rsid w:val="002E13CE"/>
    <w:rsid w:val="002F1596"/>
    <w:rsid w:val="002F1749"/>
    <w:rsid w:val="002F2338"/>
    <w:rsid w:val="002F39BD"/>
    <w:rsid w:val="003025D8"/>
    <w:rsid w:val="003025E2"/>
    <w:rsid w:val="003029F3"/>
    <w:rsid w:val="00306C4B"/>
    <w:rsid w:val="003103AF"/>
    <w:rsid w:val="003151DC"/>
    <w:rsid w:val="00326FB7"/>
    <w:rsid w:val="00331B41"/>
    <w:rsid w:val="00332631"/>
    <w:rsid w:val="003423F3"/>
    <w:rsid w:val="003425F2"/>
    <w:rsid w:val="00346E2F"/>
    <w:rsid w:val="00347F6A"/>
    <w:rsid w:val="00375874"/>
    <w:rsid w:val="00387635"/>
    <w:rsid w:val="00391A04"/>
    <w:rsid w:val="00391B14"/>
    <w:rsid w:val="003935E6"/>
    <w:rsid w:val="00397755"/>
    <w:rsid w:val="003A556D"/>
    <w:rsid w:val="003B12CA"/>
    <w:rsid w:val="003B3657"/>
    <w:rsid w:val="003C08F7"/>
    <w:rsid w:val="003C1DF0"/>
    <w:rsid w:val="003D2968"/>
    <w:rsid w:val="003D2EA8"/>
    <w:rsid w:val="003D4888"/>
    <w:rsid w:val="003D4B63"/>
    <w:rsid w:val="003E4684"/>
    <w:rsid w:val="003E558E"/>
    <w:rsid w:val="00404C8C"/>
    <w:rsid w:val="00405167"/>
    <w:rsid w:val="004119F1"/>
    <w:rsid w:val="004170C6"/>
    <w:rsid w:val="00420A00"/>
    <w:rsid w:val="00422CAF"/>
    <w:rsid w:val="00423EC3"/>
    <w:rsid w:val="004274EE"/>
    <w:rsid w:val="0043667E"/>
    <w:rsid w:val="00441728"/>
    <w:rsid w:val="00441D82"/>
    <w:rsid w:val="00463094"/>
    <w:rsid w:val="0046501B"/>
    <w:rsid w:val="00471CC6"/>
    <w:rsid w:val="00481DA5"/>
    <w:rsid w:val="00485DC4"/>
    <w:rsid w:val="0048680F"/>
    <w:rsid w:val="00490947"/>
    <w:rsid w:val="004A3385"/>
    <w:rsid w:val="004B7E54"/>
    <w:rsid w:val="004D00F1"/>
    <w:rsid w:val="004D380A"/>
    <w:rsid w:val="004E1DB7"/>
    <w:rsid w:val="004F458B"/>
    <w:rsid w:val="00505898"/>
    <w:rsid w:val="00507273"/>
    <w:rsid w:val="00516EC5"/>
    <w:rsid w:val="0052765B"/>
    <w:rsid w:val="005278BD"/>
    <w:rsid w:val="00530099"/>
    <w:rsid w:val="005334EF"/>
    <w:rsid w:val="00551CC4"/>
    <w:rsid w:val="00552455"/>
    <w:rsid w:val="005613A7"/>
    <w:rsid w:val="00564EBA"/>
    <w:rsid w:val="00571E51"/>
    <w:rsid w:val="005776F4"/>
    <w:rsid w:val="005778E5"/>
    <w:rsid w:val="00581A4B"/>
    <w:rsid w:val="00582377"/>
    <w:rsid w:val="00583EC5"/>
    <w:rsid w:val="00585F21"/>
    <w:rsid w:val="0059197A"/>
    <w:rsid w:val="00592625"/>
    <w:rsid w:val="00594818"/>
    <w:rsid w:val="005C0EDF"/>
    <w:rsid w:val="005C5499"/>
    <w:rsid w:val="005E0302"/>
    <w:rsid w:val="005E6819"/>
    <w:rsid w:val="005F65BB"/>
    <w:rsid w:val="0060781C"/>
    <w:rsid w:val="00620DCD"/>
    <w:rsid w:val="006240A4"/>
    <w:rsid w:val="006256DB"/>
    <w:rsid w:val="00633F6B"/>
    <w:rsid w:val="0064797F"/>
    <w:rsid w:val="006546FD"/>
    <w:rsid w:val="0065625F"/>
    <w:rsid w:val="00661BA9"/>
    <w:rsid w:val="0067166D"/>
    <w:rsid w:val="0068082B"/>
    <w:rsid w:val="00682B00"/>
    <w:rsid w:val="0069226B"/>
    <w:rsid w:val="006B0D39"/>
    <w:rsid w:val="006B1076"/>
    <w:rsid w:val="006B1B0C"/>
    <w:rsid w:val="006C4D15"/>
    <w:rsid w:val="006C637C"/>
    <w:rsid w:val="006C64EA"/>
    <w:rsid w:val="006D1654"/>
    <w:rsid w:val="006D2593"/>
    <w:rsid w:val="006D37C5"/>
    <w:rsid w:val="006D3E3A"/>
    <w:rsid w:val="006E5908"/>
    <w:rsid w:val="00712849"/>
    <w:rsid w:val="00713251"/>
    <w:rsid w:val="00725163"/>
    <w:rsid w:val="00730BA3"/>
    <w:rsid w:val="0074297A"/>
    <w:rsid w:val="00744B12"/>
    <w:rsid w:val="00745CA5"/>
    <w:rsid w:val="00747040"/>
    <w:rsid w:val="00751FA0"/>
    <w:rsid w:val="007614BB"/>
    <w:rsid w:val="00761B8A"/>
    <w:rsid w:val="00783DBF"/>
    <w:rsid w:val="00793FD4"/>
    <w:rsid w:val="007943C4"/>
    <w:rsid w:val="00797BA4"/>
    <w:rsid w:val="007A26CE"/>
    <w:rsid w:val="007A3FAB"/>
    <w:rsid w:val="007A4826"/>
    <w:rsid w:val="007A5CA3"/>
    <w:rsid w:val="007B44E5"/>
    <w:rsid w:val="007B4ADF"/>
    <w:rsid w:val="007B5EE6"/>
    <w:rsid w:val="007B6A3F"/>
    <w:rsid w:val="007B6BEF"/>
    <w:rsid w:val="007E35FF"/>
    <w:rsid w:val="007E58E4"/>
    <w:rsid w:val="007E6ECB"/>
    <w:rsid w:val="007F5AAC"/>
    <w:rsid w:val="007F66F1"/>
    <w:rsid w:val="00800AF2"/>
    <w:rsid w:val="00801794"/>
    <w:rsid w:val="00801B5E"/>
    <w:rsid w:val="008022BD"/>
    <w:rsid w:val="008059A7"/>
    <w:rsid w:val="00810F76"/>
    <w:rsid w:val="00811994"/>
    <w:rsid w:val="00834C04"/>
    <w:rsid w:val="00843EE7"/>
    <w:rsid w:val="00853361"/>
    <w:rsid w:val="00853C8B"/>
    <w:rsid w:val="00855057"/>
    <w:rsid w:val="0086220C"/>
    <w:rsid w:val="00862303"/>
    <w:rsid w:val="00864CF8"/>
    <w:rsid w:val="008738E4"/>
    <w:rsid w:val="008811D5"/>
    <w:rsid w:val="00881CA8"/>
    <w:rsid w:val="0089731C"/>
    <w:rsid w:val="008A01C2"/>
    <w:rsid w:val="008A3C82"/>
    <w:rsid w:val="008C0612"/>
    <w:rsid w:val="008C7A8F"/>
    <w:rsid w:val="00901A0A"/>
    <w:rsid w:val="00914ED3"/>
    <w:rsid w:val="009153F2"/>
    <w:rsid w:val="00916999"/>
    <w:rsid w:val="00917320"/>
    <w:rsid w:val="009301EC"/>
    <w:rsid w:val="00957927"/>
    <w:rsid w:val="00962B86"/>
    <w:rsid w:val="00964CD2"/>
    <w:rsid w:val="00966F93"/>
    <w:rsid w:val="00971D14"/>
    <w:rsid w:val="009908DB"/>
    <w:rsid w:val="00991C2D"/>
    <w:rsid w:val="009931E7"/>
    <w:rsid w:val="009949FA"/>
    <w:rsid w:val="009A7772"/>
    <w:rsid w:val="009B4841"/>
    <w:rsid w:val="009B4C21"/>
    <w:rsid w:val="009C2393"/>
    <w:rsid w:val="009C5BAE"/>
    <w:rsid w:val="009C6ABA"/>
    <w:rsid w:val="009D04BA"/>
    <w:rsid w:val="009D56D8"/>
    <w:rsid w:val="009E14DA"/>
    <w:rsid w:val="009E4D59"/>
    <w:rsid w:val="009F269D"/>
    <w:rsid w:val="00A001CC"/>
    <w:rsid w:val="00A07DC7"/>
    <w:rsid w:val="00A1169C"/>
    <w:rsid w:val="00A16AF3"/>
    <w:rsid w:val="00A34E33"/>
    <w:rsid w:val="00A42421"/>
    <w:rsid w:val="00A427AE"/>
    <w:rsid w:val="00A441DE"/>
    <w:rsid w:val="00A50332"/>
    <w:rsid w:val="00A515A8"/>
    <w:rsid w:val="00A5165B"/>
    <w:rsid w:val="00A54644"/>
    <w:rsid w:val="00A6390E"/>
    <w:rsid w:val="00A72808"/>
    <w:rsid w:val="00A75FD0"/>
    <w:rsid w:val="00A81107"/>
    <w:rsid w:val="00A858CC"/>
    <w:rsid w:val="00A85BC8"/>
    <w:rsid w:val="00A90A90"/>
    <w:rsid w:val="00A94F15"/>
    <w:rsid w:val="00A95933"/>
    <w:rsid w:val="00AA11BF"/>
    <w:rsid w:val="00AA6424"/>
    <w:rsid w:val="00AB1C46"/>
    <w:rsid w:val="00AC05C8"/>
    <w:rsid w:val="00AC1347"/>
    <w:rsid w:val="00AC241A"/>
    <w:rsid w:val="00AD0B74"/>
    <w:rsid w:val="00AD70B0"/>
    <w:rsid w:val="00AF1834"/>
    <w:rsid w:val="00AF7F93"/>
    <w:rsid w:val="00B02B31"/>
    <w:rsid w:val="00B1202F"/>
    <w:rsid w:val="00B12F88"/>
    <w:rsid w:val="00B13710"/>
    <w:rsid w:val="00B13A0A"/>
    <w:rsid w:val="00B15328"/>
    <w:rsid w:val="00B17F4C"/>
    <w:rsid w:val="00B242DE"/>
    <w:rsid w:val="00B40A97"/>
    <w:rsid w:val="00B411F9"/>
    <w:rsid w:val="00B41DF9"/>
    <w:rsid w:val="00B50BDD"/>
    <w:rsid w:val="00B5188D"/>
    <w:rsid w:val="00B5592D"/>
    <w:rsid w:val="00B80B19"/>
    <w:rsid w:val="00B943CC"/>
    <w:rsid w:val="00BA2646"/>
    <w:rsid w:val="00BA3AD6"/>
    <w:rsid w:val="00BA7A76"/>
    <w:rsid w:val="00BB1D73"/>
    <w:rsid w:val="00BC1B98"/>
    <w:rsid w:val="00BC2A21"/>
    <w:rsid w:val="00BD1C03"/>
    <w:rsid w:val="00BD2ADD"/>
    <w:rsid w:val="00BD70A6"/>
    <w:rsid w:val="00BD742D"/>
    <w:rsid w:val="00BE1829"/>
    <w:rsid w:val="00BE43A3"/>
    <w:rsid w:val="00BF5368"/>
    <w:rsid w:val="00BF6FEE"/>
    <w:rsid w:val="00C257A7"/>
    <w:rsid w:val="00C33297"/>
    <w:rsid w:val="00C3392A"/>
    <w:rsid w:val="00C369E8"/>
    <w:rsid w:val="00C401C6"/>
    <w:rsid w:val="00C420BA"/>
    <w:rsid w:val="00C43704"/>
    <w:rsid w:val="00C454EA"/>
    <w:rsid w:val="00C46C5F"/>
    <w:rsid w:val="00C509B8"/>
    <w:rsid w:val="00C50BB9"/>
    <w:rsid w:val="00C86B22"/>
    <w:rsid w:val="00C92D9F"/>
    <w:rsid w:val="00CA1D8C"/>
    <w:rsid w:val="00CB77C9"/>
    <w:rsid w:val="00CC5FB4"/>
    <w:rsid w:val="00CD7753"/>
    <w:rsid w:val="00CE018A"/>
    <w:rsid w:val="00CE691C"/>
    <w:rsid w:val="00CF3BEF"/>
    <w:rsid w:val="00CF6AA5"/>
    <w:rsid w:val="00D15D55"/>
    <w:rsid w:val="00D160AF"/>
    <w:rsid w:val="00D27E31"/>
    <w:rsid w:val="00D31291"/>
    <w:rsid w:val="00D356AD"/>
    <w:rsid w:val="00D40179"/>
    <w:rsid w:val="00D423AF"/>
    <w:rsid w:val="00D47D4E"/>
    <w:rsid w:val="00D506A9"/>
    <w:rsid w:val="00D63701"/>
    <w:rsid w:val="00D65365"/>
    <w:rsid w:val="00D70ECB"/>
    <w:rsid w:val="00D826AC"/>
    <w:rsid w:val="00D9647C"/>
    <w:rsid w:val="00DA1B1A"/>
    <w:rsid w:val="00DA225E"/>
    <w:rsid w:val="00DB079D"/>
    <w:rsid w:val="00DB0807"/>
    <w:rsid w:val="00DB500E"/>
    <w:rsid w:val="00DC1474"/>
    <w:rsid w:val="00DC4326"/>
    <w:rsid w:val="00DD1A40"/>
    <w:rsid w:val="00DD7189"/>
    <w:rsid w:val="00DE1CF2"/>
    <w:rsid w:val="00DE3454"/>
    <w:rsid w:val="00DE5C32"/>
    <w:rsid w:val="00DF17BF"/>
    <w:rsid w:val="00DF7D1A"/>
    <w:rsid w:val="00E10640"/>
    <w:rsid w:val="00E1288E"/>
    <w:rsid w:val="00E152A7"/>
    <w:rsid w:val="00E1536A"/>
    <w:rsid w:val="00E24571"/>
    <w:rsid w:val="00E3126E"/>
    <w:rsid w:val="00E31D79"/>
    <w:rsid w:val="00E35AA8"/>
    <w:rsid w:val="00E374F7"/>
    <w:rsid w:val="00E42FFB"/>
    <w:rsid w:val="00E4508B"/>
    <w:rsid w:val="00E454BA"/>
    <w:rsid w:val="00E47F32"/>
    <w:rsid w:val="00E50945"/>
    <w:rsid w:val="00E52377"/>
    <w:rsid w:val="00E5727E"/>
    <w:rsid w:val="00E62969"/>
    <w:rsid w:val="00E6727F"/>
    <w:rsid w:val="00E77C26"/>
    <w:rsid w:val="00E84A70"/>
    <w:rsid w:val="00E84C1D"/>
    <w:rsid w:val="00E91C2A"/>
    <w:rsid w:val="00E9733A"/>
    <w:rsid w:val="00EA6D48"/>
    <w:rsid w:val="00EB17D8"/>
    <w:rsid w:val="00EB767D"/>
    <w:rsid w:val="00EC5C31"/>
    <w:rsid w:val="00ED0E2E"/>
    <w:rsid w:val="00ED15FD"/>
    <w:rsid w:val="00ED64C8"/>
    <w:rsid w:val="00EE33BF"/>
    <w:rsid w:val="00F0008C"/>
    <w:rsid w:val="00F27364"/>
    <w:rsid w:val="00F3046D"/>
    <w:rsid w:val="00F43C74"/>
    <w:rsid w:val="00F47D15"/>
    <w:rsid w:val="00F556BC"/>
    <w:rsid w:val="00F57FE2"/>
    <w:rsid w:val="00F635A3"/>
    <w:rsid w:val="00F64567"/>
    <w:rsid w:val="00F76EC5"/>
    <w:rsid w:val="00F8182D"/>
    <w:rsid w:val="00F83D10"/>
    <w:rsid w:val="00F85CE1"/>
    <w:rsid w:val="00F95DE1"/>
    <w:rsid w:val="00FB0240"/>
    <w:rsid w:val="00FB6C52"/>
    <w:rsid w:val="00FC067E"/>
    <w:rsid w:val="00FC5CC6"/>
    <w:rsid w:val="00FD1ACC"/>
    <w:rsid w:val="00FD5A59"/>
    <w:rsid w:val="00FD6A99"/>
    <w:rsid w:val="00FE19A5"/>
    <w:rsid w:val="00FF0C8B"/>
    <w:rsid w:val="00FF25C2"/>
    <w:rsid w:val="00FF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745116"/>
  <w15:docId w15:val="{0D1332B5-571F-43E5-94C3-43F081D2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B13710"/>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Style Purple"/>
    <w:basedOn w:val="TableNormal"/>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Heading"/>
    <w:basedOn w:val="Normal"/>
    <w:next w:val="Normal"/>
    <w:link w:val="SubtitleChar"/>
    <w:autoRedefine/>
    <w:uiPriority w:val="11"/>
    <w:qFormat/>
    <w:rsid w:val="00F556BC"/>
    <w:pPr>
      <w:keepNext/>
      <w:spacing w:before="480"/>
    </w:pPr>
    <w:rPr>
      <w:rFonts w:eastAsiaTheme="majorEastAsia" w:cstheme="majorBidi"/>
      <w:b/>
      <w:iCs/>
      <w:spacing w:val="15"/>
      <w:sz w:val="24"/>
      <w:szCs w:val="24"/>
    </w:rPr>
  </w:style>
  <w:style w:type="character" w:customStyle="1" w:styleId="SubtitleChar">
    <w:name w:val="Subtitle Char"/>
    <w:aliases w:val="Heading Char"/>
    <w:basedOn w:val="DefaultParagraphFont"/>
    <w:link w:val="Subtitle"/>
    <w:uiPriority w:val="11"/>
    <w:rsid w:val="00F556BC"/>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Dot pt,No Spacing1,List Paragraph Char Char Char,Indicator Text,Numbered Para 1,List Paragraph1,Bullet 1,Bullet Points,MAIN CONTENT,List Paragraph12,List Para,Bullet text"/>
    <w:basedOn w:val="Normal"/>
    <w:link w:val="ListParagraphChar"/>
    <w:qFormat/>
    <w:rsid w:val="00EE33BF"/>
    <w:pPr>
      <w:numPr>
        <w:numId w:val="3"/>
      </w:numPr>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4"/>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heading">
    <w:name w:val="Subheading"/>
    <w:basedOn w:val="Subtitle"/>
    <w:next w:val="Normal"/>
    <w:qFormat/>
    <w:rsid w:val="00F57FE2"/>
    <w:pPr>
      <w:numPr>
        <w:ilvl w:val="1"/>
      </w:numPr>
      <w:spacing w:before="0"/>
    </w:pPr>
    <w:rPr>
      <w:sz w:val="20"/>
    </w:rPr>
  </w:style>
  <w:style w:type="numbering" w:customStyle="1" w:styleId="Subtitles">
    <w:name w:val="Subtitles"/>
    <w:uiPriority w:val="99"/>
    <w:rsid w:val="00A75FD0"/>
    <w:pPr>
      <w:numPr>
        <w:numId w:val="5"/>
      </w:numPr>
    </w:pPr>
  </w:style>
  <w:style w:type="paragraph" w:customStyle="1" w:styleId="TableHeading">
    <w:name w:val="Table Heading"/>
    <w:basedOn w:val="Normal"/>
    <w:link w:val="TableHeadingChar"/>
    <w:qFormat/>
    <w:rsid w:val="003C08F7"/>
    <w:pPr>
      <w:spacing w:after="0" w:line="240" w:lineRule="auto"/>
      <w:jc w:val="center"/>
    </w:pPr>
    <w:rPr>
      <w:rFonts w:eastAsiaTheme="minorEastAsia" w:cs="Arial"/>
      <w:b/>
      <w:color w:val="FFFFFF" w:themeColor="background1"/>
      <w:sz w:val="22"/>
      <w:lang w:eastAsia="en-GB"/>
    </w:rPr>
  </w:style>
  <w:style w:type="character" w:customStyle="1" w:styleId="TableHeadingChar">
    <w:name w:val="Table Heading Char"/>
    <w:basedOn w:val="DefaultParagraphFont"/>
    <w:link w:val="TableHeading"/>
    <w:rsid w:val="003C08F7"/>
    <w:rPr>
      <w:rFonts w:ascii="Arial" w:eastAsiaTheme="minorEastAsia" w:hAnsi="Arial" w:cs="Arial"/>
      <w:b/>
      <w:color w:val="FFFFFF" w:themeColor="background1"/>
      <w:lang w:eastAsia="en-GB"/>
    </w:r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basedOn w:val="DefaultParagraphFont"/>
    <w:link w:val="ListParagraph"/>
    <w:qFormat/>
    <w:locked/>
    <w:rsid w:val="003C08F7"/>
    <w:rPr>
      <w:rFonts w:ascii="Arial" w:hAnsi="Arial"/>
      <w:color w:val="404040" w:themeColor="text1" w:themeTint="BF"/>
      <w:sz w:val="20"/>
    </w:rPr>
  </w:style>
  <w:style w:type="table" w:customStyle="1" w:styleId="TableGrid1">
    <w:name w:val="Table Grid1"/>
    <w:basedOn w:val="TableNormal"/>
    <w:uiPriority w:val="59"/>
    <w:rsid w:val="003C08F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710"/>
    <w:rPr>
      <w:color w:val="0563C1"/>
      <w:u w:val="single"/>
    </w:rPr>
  </w:style>
  <w:style w:type="character" w:styleId="CommentReference">
    <w:name w:val="annotation reference"/>
    <w:basedOn w:val="DefaultParagraphFont"/>
    <w:uiPriority w:val="99"/>
    <w:semiHidden/>
    <w:unhideWhenUsed/>
    <w:rsid w:val="00810F76"/>
    <w:rPr>
      <w:sz w:val="16"/>
      <w:szCs w:val="16"/>
    </w:rPr>
  </w:style>
  <w:style w:type="paragraph" w:styleId="CommentText">
    <w:name w:val="annotation text"/>
    <w:basedOn w:val="Normal"/>
    <w:link w:val="CommentTextChar"/>
    <w:uiPriority w:val="99"/>
    <w:semiHidden/>
    <w:unhideWhenUsed/>
    <w:rsid w:val="00810F76"/>
    <w:pPr>
      <w:spacing w:line="240" w:lineRule="auto"/>
    </w:pPr>
    <w:rPr>
      <w:szCs w:val="20"/>
    </w:rPr>
  </w:style>
  <w:style w:type="character" w:customStyle="1" w:styleId="CommentTextChar">
    <w:name w:val="Comment Text Char"/>
    <w:basedOn w:val="DefaultParagraphFont"/>
    <w:link w:val="CommentText"/>
    <w:uiPriority w:val="99"/>
    <w:semiHidden/>
    <w:rsid w:val="00810F76"/>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810F76"/>
    <w:rPr>
      <w:b/>
      <w:bCs/>
    </w:rPr>
  </w:style>
  <w:style w:type="character" w:customStyle="1" w:styleId="CommentSubjectChar">
    <w:name w:val="Comment Subject Char"/>
    <w:basedOn w:val="CommentTextChar"/>
    <w:link w:val="CommentSubject"/>
    <w:uiPriority w:val="99"/>
    <w:semiHidden/>
    <w:rsid w:val="00810F76"/>
    <w:rPr>
      <w:rFonts w:ascii="Arial" w:hAnsi="Arial"/>
      <w:b/>
      <w:bCs/>
      <w:color w:val="404040" w:themeColor="text1" w:themeTint="BF"/>
      <w:sz w:val="20"/>
      <w:szCs w:val="20"/>
    </w:rPr>
  </w:style>
  <w:style w:type="paragraph" w:styleId="Revision">
    <w:name w:val="Revision"/>
    <w:hidden/>
    <w:uiPriority w:val="99"/>
    <w:semiHidden/>
    <w:rsid w:val="00AF1834"/>
    <w:pPr>
      <w:spacing w:after="0" w:line="240" w:lineRule="auto"/>
    </w:pPr>
    <w:rPr>
      <w:rFonts w:ascii="Arial" w:hAnsi="Arial"/>
      <w:color w:val="404040" w:themeColor="text1" w:themeTint="BF"/>
      <w:sz w:val="20"/>
    </w:rPr>
  </w:style>
  <w:style w:type="character" w:styleId="UnresolvedMention">
    <w:name w:val="Unresolved Mention"/>
    <w:basedOn w:val="DefaultParagraphFont"/>
    <w:uiPriority w:val="99"/>
    <w:semiHidden/>
    <w:unhideWhenUsed/>
    <w:rsid w:val="003025E2"/>
    <w:rPr>
      <w:color w:val="605E5C"/>
      <w:shd w:val="clear" w:color="auto" w:fill="E1DFDD"/>
    </w:rPr>
  </w:style>
  <w:style w:type="table" w:customStyle="1" w:styleId="TableGrid11">
    <w:name w:val="Table Grid11"/>
    <w:basedOn w:val="TableNormal"/>
    <w:uiPriority w:val="59"/>
    <w:rsid w:val="00E152A7"/>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E152A7"/>
    <w:pPr>
      <w:spacing w:line="240" w:lineRule="auto"/>
    </w:pPr>
    <w:rPr>
      <w:color w:val="404040"/>
      <w:szCs w:val="20"/>
    </w:rPr>
  </w:style>
  <w:style w:type="paragraph" w:styleId="FootnoteText">
    <w:name w:val="footnote text"/>
    <w:basedOn w:val="Normal"/>
    <w:link w:val="FootnoteTextChar"/>
    <w:uiPriority w:val="99"/>
    <w:semiHidden/>
    <w:unhideWhenUsed/>
    <w:rsid w:val="003D2968"/>
    <w:pPr>
      <w:spacing w:after="0" w:line="240" w:lineRule="auto"/>
    </w:pPr>
    <w:rPr>
      <w:szCs w:val="20"/>
    </w:rPr>
  </w:style>
  <w:style w:type="character" w:customStyle="1" w:styleId="FootnoteTextChar">
    <w:name w:val="Footnote Text Char"/>
    <w:basedOn w:val="DefaultParagraphFont"/>
    <w:link w:val="FootnoteText"/>
    <w:uiPriority w:val="99"/>
    <w:semiHidden/>
    <w:rsid w:val="003D2968"/>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3D2968"/>
    <w:rPr>
      <w:vertAlign w:val="superscript"/>
    </w:rPr>
  </w:style>
  <w:style w:type="paragraph" w:customStyle="1" w:styleId="Tabletitle">
    <w:name w:val="Table title"/>
    <w:basedOn w:val="Normal"/>
    <w:uiPriority w:val="8"/>
    <w:qFormat/>
    <w:rsid w:val="003D2968"/>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3D2968"/>
    <w:pPr>
      <w:keepNext/>
      <w:spacing w:before="40" w:after="40" w:line="240" w:lineRule="auto"/>
      <w:jc w:val="center"/>
    </w:pPr>
    <w:rPr>
      <w:b/>
      <w:color w:val="007C31"/>
    </w:rPr>
  </w:style>
  <w:style w:type="paragraph" w:customStyle="1" w:styleId="Tablebodytext">
    <w:name w:val="Table body text"/>
    <w:basedOn w:val="Normal"/>
    <w:uiPriority w:val="8"/>
    <w:qFormat/>
    <w:rsid w:val="003D2968"/>
    <w:pPr>
      <w:spacing w:before="40"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2013">
      <w:bodyDiv w:val="1"/>
      <w:marLeft w:val="0"/>
      <w:marRight w:val="0"/>
      <w:marTop w:val="0"/>
      <w:marBottom w:val="0"/>
      <w:divBdr>
        <w:top w:val="none" w:sz="0" w:space="0" w:color="auto"/>
        <w:left w:val="none" w:sz="0" w:space="0" w:color="auto"/>
        <w:bottom w:val="none" w:sz="0" w:space="0" w:color="auto"/>
        <w:right w:val="none" w:sz="0" w:space="0" w:color="auto"/>
      </w:divBdr>
    </w:div>
    <w:div w:id="252518843">
      <w:bodyDiv w:val="1"/>
      <w:marLeft w:val="0"/>
      <w:marRight w:val="0"/>
      <w:marTop w:val="0"/>
      <w:marBottom w:val="0"/>
      <w:divBdr>
        <w:top w:val="none" w:sz="0" w:space="0" w:color="auto"/>
        <w:left w:val="none" w:sz="0" w:space="0" w:color="auto"/>
        <w:bottom w:val="none" w:sz="0" w:space="0" w:color="auto"/>
        <w:right w:val="none" w:sz="0" w:space="0" w:color="auto"/>
      </w:divBdr>
      <w:divsChild>
        <w:div w:id="1179855502">
          <w:marLeft w:val="360"/>
          <w:marRight w:val="0"/>
          <w:marTop w:val="200"/>
          <w:marBottom w:val="0"/>
          <w:divBdr>
            <w:top w:val="none" w:sz="0" w:space="0" w:color="auto"/>
            <w:left w:val="none" w:sz="0" w:space="0" w:color="auto"/>
            <w:bottom w:val="none" w:sz="0" w:space="0" w:color="auto"/>
            <w:right w:val="none" w:sz="0" w:space="0" w:color="auto"/>
          </w:divBdr>
        </w:div>
      </w:divsChild>
    </w:div>
    <w:div w:id="441612215">
      <w:bodyDiv w:val="1"/>
      <w:marLeft w:val="0"/>
      <w:marRight w:val="0"/>
      <w:marTop w:val="0"/>
      <w:marBottom w:val="0"/>
      <w:divBdr>
        <w:top w:val="none" w:sz="0" w:space="0" w:color="auto"/>
        <w:left w:val="none" w:sz="0" w:space="0" w:color="auto"/>
        <w:bottom w:val="none" w:sz="0" w:space="0" w:color="auto"/>
        <w:right w:val="none" w:sz="0" w:space="0" w:color="auto"/>
      </w:divBdr>
      <w:divsChild>
        <w:div w:id="1756315620">
          <w:marLeft w:val="360"/>
          <w:marRight w:val="0"/>
          <w:marTop w:val="200"/>
          <w:marBottom w:val="0"/>
          <w:divBdr>
            <w:top w:val="none" w:sz="0" w:space="0" w:color="auto"/>
            <w:left w:val="none" w:sz="0" w:space="0" w:color="auto"/>
            <w:bottom w:val="none" w:sz="0" w:space="0" w:color="auto"/>
            <w:right w:val="none" w:sz="0" w:space="0" w:color="auto"/>
          </w:divBdr>
        </w:div>
      </w:divsChild>
    </w:div>
    <w:div w:id="1094476975">
      <w:bodyDiv w:val="1"/>
      <w:marLeft w:val="0"/>
      <w:marRight w:val="0"/>
      <w:marTop w:val="0"/>
      <w:marBottom w:val="0"/>
      <w:divBdr>
        <w:top w:val="none" w:sz="0" w:space="0" w:color="auto"/>
        <w:left w:val="none" w:sz="0" w:space="0" w:color="auto"/>
        <w:bottom w:val="none" w:sz="0" w:space="0" w:color="auto"/>
        <w:right w:val="none" w:sz="0" w:space="0" w:color="auto"/>
      </w:divBdr>
      <w:divsChild>
        <w:div w:id="661278397">
          <w:marLeft w:val="547"/>
          <w:marRight w:val="0"/>
          <w:marTop w:val="0"/>
          <w:marBottom w:val="0"/>
          <w:divBdr>
            <w:top w:val="none" w:sz="0" w:space="0" w:color="auto"/>
            <w:left w:val="none" w:sz="0" w:space="0" w:color="auto"/>
            <w:bottom w:val="none" w:sz="0" w:space="0" w:color="auto"/>
            <w:right w:val="none" w:sz="0" w:space="0" w:color="auto"/>
          </w:divBdr>
        </w:div>
      </w:divsChild>
    </w:div>
    <w:div w:id="1114247011">
      <w:bodyDiv w:val="1"/>
      <w:marLeft w:val="0"/>
      <w:marRight w:val="0"/>
      <w:marTop w:val="0"/>
      <w:marBottom w:val="0"/>
      <w:divBdr>
        <w:top w:val="none" w:sz="0" w:space="0" w:color="auto"/>
        <w:left w:val="none" w:sz="0" w:space="0" w:color="auto"/>
        <w:bottom w:val="none" w:sz="0" w:space="0" w:color="auto"/>
        <w:right w:val="none" w:sz="0" w:space="0" w:color="auto"/>
      </w:divBdr>
    </w:div>
    <w:div w:id="1677877166">
      <w:bodyDiv w:val="1"/>
      <w:marLeft w:val="0"/>
      <w:marRight w:val="0"/>
      <w:marTop w:val="0"/>
      <w:marBottom w:val="0"/>
      <w:divBdr>
        <w:top w:val="none" w:sz="0" w:space="0" w:color="auto"/>
        <w:left w:val="none" w:sz="0" w:space="0" w:color="auto"/>
        <w:bottom w:val="none" w:sz="0" w:space="0" w:color="auto"/>
        <w:right w:val="none" w:sz="0" w:space="0" w:color="auto"/>
      </w:divBdr>
      <w:divsChild>
        <w:div w:id="62879678">
          <w:marLeft w:val="360"/>
          <w:marRight w:val="0"/>
          <w:marTop w:val="200"/>
          <w:marBottom w:val="0"/>
          <w:divBdr>
            <w:top w:val="none" w:sz="0" w:space="0" w:color="auto"/>
            <w:left w:val="none" w:sz="0" w:space="0" w:color="auto"/>
            <w:bottom w:val="none" w:sz="0" w:space="0" w:color="auto"/>
            <w:right w:val="none" w:sz="0" w:space="0" w:color="auto"/>
          </w:divBdr>
        </w:div>
      </w:divsChild>
    </w:div>
    <w:div w:id="1689595908">
      <w:bodyDiv w:val="1"/>
      <w:marLeft w:val="0"/>
      <w:marRight w:val="0"/>
      <w:marTop w:val="0"/>
      <w:marBottom w:val="0"/>
      <w:divBdr>
        <w:top w:val="none" w:sz="0" w:space="0" w:color="auto"/>
        <w:left w:val="none" w:sz="0" w:space="0" w:color="auto"/>
        <w:bottom w:val="none" w:sz="0" w:space="0" w:color="auto"/>
        <w:right w:val="none" w:sz="0" w:space="0" w:color="auto"/>
      </w:divBdr>
      <w:divsChild>
        <w:div w:id="152840664">
          <w:marLeft w:val="547"/>
          <w:marRight w:val="0"/>
          <w:marTop w:val="0"/>
          <w:marBottom w:val="0"/>
          <w:divBdr>
            <w:top w:val="none" w:sz="0" w:space="0" w:color="auto"/>
            <w:left w:val="none" w:sz="0" w:space="0" w:color="auto"/>
            <w:bottom w:val="none" w:sz="0" w:space="0" w:color="auto"/>
            <w:right w:val="none" w:sz="0" w:space="0" w:color="auto"/>
          </w:divBdr>
        </w:div>
      </w:divsChild>
    </w:div>
    <w:div w:id="1699159126">
      <w:bodyDiv w:val="1"/>
      <w:marLeft w:val="0"/>
      <w:marRight w:val="0"/>
      <w:marTop w:val="0"/>
      <w:marBottom w:val="0"/>
      <w:divBdr>
        <w:top w:val="none" w:sz="0" w:space="0" w:color="auto"/>
        <w:left w:val="none" w:sz="0" w:space="0" w:color="auto"/>
        <w:bottom w:val="none" w:sz="0" w:space="0" w:color="auto"/>
        <w:right w:val="none" w:sz="0" w:space="0" w:color="auto"/>
      </w:divBdr>
      <w:divsChild>
        <w:div w:id="602349556">
          <w:marLeft w:val="360"/>
          <w:marRight w:val="0"/>
          <w:marTop w:val="200"/>
          <w:marBottom w:val="0"/>
          <w:divBdr>
            <w:top w:val="none" w:sz="0" w:space="0" w:color="auto"/>
            <w:left w:val="none" w:sz="0" w:space="0" w:color="auto"/>
            <w:bottom w:val="none" w:sz="0" w:space="0" w:color="auto"/>
            <w:right w:val="none" w:sz="0" w:space="0" w:color="auto"/>
          </w:divBdr>
        </w:div>
      </w:divsChild>
    </w:div>
    <w:div w:id="19219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artenergycodecompany.co.uk/modifications/dno-power-outage-aler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85C8-F546-4FB1-80A5-E949013C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MP096 - Working Group meeting summary</vt:lpstr>
    </vt:vector>
  </TitlesOfParts>
  <Company>Gemserv</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MP096 - Working Group meeting summary</dc:title>
  <dc:creator>Bradley Baker</dc:creator>
  <cp:lastModifiedBy>Bradley Baker</cp:lastModifiedBy>
  <cp:revision>10</cp:revision>
  <cp:lastPrinted>2020-10-20T09:46:00Z</cp:lastPrinted>
  <dcterms:created xsi:type="dcterms:W3CDTF">2021-06-02T15:29:00Z</dcterms:created>
  <dcterms:modified xsi:type="dcterms:W3CDTF">2021-06-09T11:09:00Z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2021-04-15T09:50:04Z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f527d1c4-141e-4f1b-ad4e-a1a821d7d4ff</vt:lpwstr>
  </property>
  <property fmtid="{D5CDD505-2E9C-101B-9397-08002B2CF9AE}" pid="8" name="MSIP_Label_ba62f585-b40f-4ab9-bafe-39150f03d124_ContentBits">
    <vt:lpwstr>0</vt:lpwstr>
  </property>
</Properties>
</file>