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FD814" w14:textId="2065D7BB" w:rsidR="003423F3" w:rsidRDefault="003423F3" w:rsidP="003423F3">
      <w:pPr>
        <w:pStyle w:val="SECPaperTitle"/>
        <w:spacing w:before="0" w:after="240"/>
        <w:rPr>
          <w:sz w:val="30"/>
          <w:szCs w:val="30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1CF36B" wp14:editId="3CB3343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70880" cy="466725"/>
                <wp:effectExtent l="0" t="0" r="2032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9FB94" w14:textId="77777777" w:rsidR="003423F3" w:rsidRPr="001606E0" w:rsidRDefault="003423F3" w:rsidP="003423F3">
                            <w:r w:rsidRPr="002C642C">
                              <w:rPr>
                                <w:rFonts w:cs="Arial"/>
                              </w:rPr>
                              <w:t xml:space="preserve">This document is classified as </w:t>
                            </w:r>
                            <w:r w:rsidRPr="002C642C">
                              <w:rPr>
                                <w:rFonts w:cs="Arial"/>
                                <w:b/>
                              </w:rPr>
                              <w:t xml:space="preserve">White </w:t>
                            </w:r>
                            <w:r w:rsidRPr="002C642C">
                              <w:rPr>
                                <w:rFonts w:cs="Arial"/>
                              </w:rPr>
                              <w:t>in accordance with the Panel Information Policy. Information can be shared with the public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2C642C">
                              <w:rPr>
                                <w:rFonts w:cs="Arial"/>
                              </w:rPr>
                              <w:t xml:space="preserve"> and any members may publish the information, subject to copyright</w:t>
                            </w:r>
                            <w:r>
                              <w:t xml:space="preserve">. </w:t>
                            </w:r>
                          </w:p>
                          <w:p w14:paraId="03752441" w14:textId="77777777" w:rsidR="003423F3" w:rsidRPr="003D092C" w:rsidRDefault="003423F3" w:rsidP="003423F3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CF3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54.4pt;height:36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">
                <v:textbox>
                  <w:txbxContent>
                    <w:p w14:paraId="1839FB94" w14:textId="77777777" w:rsidR="003423F3" w:rsidRPr="001606E0" w:rsidRDefault="003423F3" w:rsidP="003423F3">
                      <w:r w:rsidRPr="002C642C">
                        <w:rPr>
                          <w:rFonts w:cs="Arial"/>
                        </w:rPr>
                        <w:t xml:space="preserve">This document is classified as </w:t>
                      </w:r>
                      <w:r w:rsidRPr="002C642C">
                        <w:rPr>
                          <w:rFonts w:cs="Arial"/>
                          <w:b/>
                        </w:rPr>
                        <w:t xml:space="preserve">White </w:t>
                      </w:r>
                      <w:r w:rsidRPr="002C642C">
                        <w:rPr>
                          <w:rFonts w:cs="Arial"/>
                        </w:rPr>
                        <w:t>in accordance with the Panel Information Policy. Information can be shared with the public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2C642C">
                        <w:rPr>
                          <w:rFonts w:cs="Arial"/>
                        </w:rPr>
                        <w:t xml:space="preserve"> and any members may publish the information, subject to copyright</w:t>
                      </w:r>
                      <w:r>
                        <w:t xml:space="preserve">. </w:t>
                      </w:r>
                    </w:p>
                    <w:p w14:paraId="03752441" w14:textId="77777777" w:rsidR="003423F3" w:rsidRPr="003D092C" w:rsidRDefault="003423F3" w:rsidP="003423F3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69C">
        <w:rPr>
          <w:noProof/>
          <w:lang w:eastAsia="en-GB"/>
        </w:rPr>
        <w:t>MP</w:t>
      </w:r>
      <w:r w:rsidR="00F64567">
        <w:rPr>
          <w:noProof/>
          <w:lang w:eastAsia="en-GB"/>
        </w:rPr>
        <w:t>096</w:t>
      </w:r>
      <w:r>
        <w:rPr>
          <w:sz w:val="30"/>
          <w:szCs w:val="30"/>
        </w:rPr>
        <w:t xml:space="preserve"> ‘</w:t>
      </w:r>
      <w:r w:rsidR="00F64567">
        <w:rPr>
          <w:sz w:val="30"/>
          <w:szCs w:val="30"/>
        </w:rPr>
        <w:t>DNO Power Outage Alerts</w:t>
      </w:r>
      <w:r w:rsidR="00A1169C">
        <w:rPr>
          <w:sz w:val="30"/>
          <w:szCs w:val="30"/>
        </w:rPr>
        <w:t>’</w:t>
      </w:r>
    </w:p>
    <w:p w14:paraId="4AF16256" w14:textId="2D84FE33" w:rsidR="00B13710" w:rsidRDefault="00F64567" w:rsidP="00B13710">
      <w:pPr>
        <w:pStyle w:val="SECPaperTitle"/>
        <w:spacing w:before="0" w:after="240"/>
        <w:rPr>
          <w:sz w:val="30"/>
          <w:szCs w:val="30"/>
        </w:rPr>
      </w:pPr>
      <w:r>
        <w:rPr>
          <w:sz w:val="30"/>
          <w:szCs w:val="30"/>
        </w:rPr>
        <w:t>April</w:t>
      </w:r>
      <w:r w:rsidR="003B12CA">
        <w:rPr>
          <w:sz w:val="30"/>
          <w:szCs w:val="30"/>
        </w:rPr>
        <w:t xml:space="preserve"> 2021</w:t>
      </w:r>
      <w:r w:rsidR="00B13710">
        <w:rPr>
          <w:sz w:val="30"/>
          <w:szCs w:val="30"/>
        </w:rPr>
        <w:t xml:space="preserve"> </w:t>
      </w:r>
      <w:r w:rsidR="003423F3">
        <w:rPr>
          <w:sz w:val="30"/>
          <w:szCs w:val="30"/>
        </w:rPr>
        <w:t xml:space="preserve">Working Group </w:t>
      </w:r>
      <w:r w:rsidR="000C423C">
        <w:rPr>
          <w:sz w:val="30"/>
          <w:szCs w:val="30"/>
        </w:rPr>
        <w:t xml:space="preserve">– </w:t>
      </w:r>
      <w:r w:rsidR="002A76CA">
        <w:rPr>
          <w:sz w:val="30"/>
          <w:szCs w:val="30"/>
        </w:rPr>
        <w:t>me</w:t>
      </w:r>
      <w:r w:rsidR="003423F3" w:rsidRPr="008E76FA">
        <w:rPr>
          <w:sz w:val="30"/>
          <w:szCs w:val="30"/>
        </w:rPr>
        <w:t>eting</w:t>
      </w:r>
      <w:r w:rsidR="002A76CA">
        <w:rPr>
          <w:sz w:val="30"/>
          <w:szCs w:val="30"/>
        </w:rPr>
        <w:t xml:space="preserve"> summary</w:t>
      </w:r>
    </w:p>
    <w:p w14:paraId="29566CD0" w14:textId="419BABFB" w:rsidR="00564EBA" w:rsidRDefault="00564EBA" w:rsidP="00F556BC">
      <w:pPr>
        <w:pStyle w:val="Subtitle"/>
      </w:pPr>
      <w:r>
        <w:t>Attendees</w:t>
      </w:r>
    </w:p>
    <w:tbl>
      <w:tblPr>
        <w:tblStyle w:val="TableGrid11"/>
        <w:tblW w:w="2906" w:type="pct"/>
        <w:jc w:val="center"/>
        <w:tblInd w:w="0" w:type="dxa"/>
        <w:tblLook w:val="04A0" w:firstRow="1" w:lastRow="0" w:firstColumn="1" w:lastColumn="0" w:noHBand="0" w:noVBand="1"/>
      </w:tblPr>
      <w:tblGrid>
        <w:gridCol w:w="2620"/>
        <w:gridCol w:w="2620"/>
      </w:tblGrid>
      <w:tr w:rsidR="00E152A7" w:rsidRPr="00EA5CE8" w14:paraId="6887B555" w14:textId="77777777" w:rsidTr="00A34E33">
        <w:trPr>
          <w:trHeight w:val="51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A800"/>
            <w:vAlign w:val="center"/>
          </w:tcPr>
          <w:p w14:paraId="0CCC3F64" w14:textId="77777777" w:rsidR="00E152A7" w:rsidRPr="00EA5CE8" w:rsidRDefault="00E152A7" w:rsidP="00AB0CFD">
            <w:pPr>
              <w:jc w:val="center"/>
              <w:rPr>
                <w:rFonts w:cs="Arial"/>
                <w:b/>
                <w:color w:val="FFFFFF"/>
                <w:lang w:eastAsia="en-GB"/>
              </w:rPr>
            </w:pPr>
            <w:r w:rsidRPr="00EA5CE8">
              <w:rPr>
                <w:rFonts w:cs="Arial"/>
                <w:b/>
                <w:color w:val="FFFFFF"/>
                <w:lang w:eastAsia="en-GB"/>
              </w:rPr>
              <w:t>Attendee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A800"/>
            <w:vAlign w:val="center"/>
          </w:tcPr>
          <w:p w14:paraId="12A895CE" w14:textId="77777777" w:rsidR="00E152A7" w:rsidRPr="00EA5CE8" w:rsidRDefault="00E152A7" w:rsidP="00AB0CFD">
            <w:pPr>
              <w:jc w:val="center"/>
              <w:rPr>
                <w:rFonts w:cs="Arial"/>
                <w:b/>
                <w:color w:val="FFFFFF"/>
                <w:lang w:eastAsia="en-GB"/>
              </w:rPr>
            </w:pPr>
            <w:r w:rsidRPr="00EA5CE8">
              <w:rPr>
                <w:rFonts w:cs="Arial"/>
                <w:b/>
                <w:color w:val="FFFFFF"/>
                <w:lang w:eastAsia="en-GB"/>
              </w:rPr>
              <w:t>Organisation</w:t>
            </w:r>
          </w:p>
        </w:tc>
      </w:tr>
      <w:tr w:rsidR="00E152A7" w:rsidRPr="00EA5CE8" w14:paraId="48E6B1A3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723E" w14:textId="5553043C" w:rsidR="00E152A7" w:rsidRPr="00EA5CE8" w:rsidRDefault="00DA225E" w:rsidP="00AB0CFD">
            <w:pPr>
              <w:spacing w:before="30" w:after="30" w:line="276" w:lineRule="auto"/>
              <w:rPr>
                <w:rFonts w:eastAsia="Calibri" w:cs="Arial"/>
                <w:color w:val="404040"/>
                <w:szCs w:val="20"/>
                <w:lang w:eastAsia="en-GB"/>
              </w:rPr>
            </w:pPr>
            <w:r>
              <w:rPr>
                <w:rFonts w:eastAsia="Calibri" w:cs="Arial"/>
                <w:color w:val="404040"/>
                <w:szCs w:val="20"/>
                <w:lang w:eastAsia="en-GB"/>
              </w:rPr>
              <w:t>Joe Hehir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91BD" w14:textId="77777777" w:rsidR="00E152A7" w:rsidRPr="00EA5CE8" w:rsidRDefault="00E152A7" w:rsidP="00AB0CFD">
            <w:pPr>
              <w:spacing w:before="30" w:after="30" w:line="276" w:lineRule="auto"/>
              <w:rPr>
                <w:rFonts w:eastAsia="Calibri" w:cs="Times New Roman"/>
                <w:color w:val="404040"/>
                <w:lang w:eastAsia="en-GB"/>
              </w:rPr>
            </w:pPr>
            <w:r w:rsidRPr="00EA5CE8">
              <w:rPr>
                <w:rFonts w:eastAsia="Calibri" w:cs="Times New Roman"/>
                <w:color w:val="404040"/>
                <w:lang w:eastAsia="en-GB"/>
              </w:rPr>
              <w:t>SECAS</w:t>
            </w:r>
          </w:p>
        </w:tc>
      </w:tr>
      <w:tr w:rsidR="00397755" w:rsidRPr="00EA5CE8" w14:paraId="5A90C899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555A" w14:textId="443268A0" w:rsidR="00397755" w:rsidRDefault="00397755" w:rsidP="00AB0CFD">
            <w:pPr>
              <w:spacing w:before="30" w:after="30"/>
              <w:rPr>
                <w:rFonts w:eastAsia="Calibri" w:cs="Arial"/>
                <w:color w:val="404040"/>
                <w:szCs w:val="20"/>
                <w:lang w:eastAsia="en-GB"/>
              </w:rPr>
            </w:pPr>
            <w:r>
              <w:rPr>
                <w:rFonts w:eastAsia="Calibri" w:cs="Arial"/>
                <w:color w:val="404040"/>
                <w:szCs w:val="20"/>
                <w:lang w:eastAsia="en-GB"/>
              </w:rPr>
              <w:t>Holly Burton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50F0" w14:textId="4441158A" w:rsidR="00397755" w:rsidRDefault="00397755" w:rsidP="00AB0CFD">
            <w:pPr>
              <w:spacing w:before="30" w:after="30"/>
              <w:rPr>
                <w:rFonts w:eastAsia="Calibri" w:cs="Times New Roman"/>
                <w:color w:val="404040"/>
                <w:lang w:eastAsia="en-GB"/>
              </w:rPr>
            </w:pPr>
            <w:r>
              <w:rPr>
                <w:rFonts w:eastAsia="Calibri" w:cs="Times New Roman"/>
                <w:color w:val="404040"/>
                <w:lang w:eastAsia="en-GB"/>
              </w:rPr>
              <w:t>SECAS</w:t>
            </w:r>
          </w:p>
        </w:tc>
      </w:tr>
      <w:tr w:rsidR="00E152A7" w:rsidRPr="00EA5CE8" w14:paraId="1376F394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FE5" w14:textId="77777777" w:rsidR="00E152A7" w:rsidRPr="00EA5CE8" w:rsidRDefault="00E152A7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 w:rsidRPr="00EA5CE8">
              <w:rPr>
                <w:rFonts w:cs="Arial"/>
                <w:color w:val="404040"/>
                <w:szCs w:val="20"/>
                <w:lang w:eastAsia="en-GB"/>
              </w:rPr>
              <w:t>Brad Baker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647" w14:textId="77777777" w:rsidR="00E152A7" w:rsidRPr="00EA5CE8" w:rsidRDefault="00E152A7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 w:rsidRPr="00EA5CE8">
              <w:rPr>
                <w:rFonts w:cs="Times New Roman"/>
                <w:color w:val="404040"/>
                <w:lang w:eastAsia="en-GB"/>
              </w:rPr>
              <w:t>SECAS</w:t>
            </w:r>
          </w:p>
        </w:tc>
      </w:tr>
      <w:tr w:rsidR="00E152A7" w:rsidRPr="00EA5CE8" w14:paraId="4BB59B42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9D0" w14:textId="77777777" w:rsidR="00E152A7" w:rsidRPr="00EA5CE8" w:rsidRDefault="00E152A7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 w:rsidRPr="00EA5CE8">
              <w:rPr>
                <w:rFonts w:cs="Arial"/>
                <w:color w:val="404040"/>
                <w:szCs w:val="20"/>
                <w:lang w:eastAsia="en-GB"/>
              </w:rPr>
              <w:t>Joey Manners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017C" w14:textId="77777777" w:rsidR="00E152A7" w:rsidRPr="00EA5CE8" w:rsidRDefault="00E152A7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 w:rsidRPr="00EA5CE8">
              <w:rPr>
                <w:rFonts w:cs="Times New Roman"/>
                <w:color w:val="404040"/>
                <w:lang w:eastAsia="en-GB"/>
              </w:rPr>
              <w:t>SECAS</w:t>
            </w:r>
          </w:p>
        </w:tc>
      </w:tr>
      <w:tr w:rsidR="003B12CA" w:rsidRPr="00EA5CE8" w14:paraId="2DEEA0D3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683" w14:textId="2B5C72A5" w:rsidR="003B12CA" w:rsidRPr="00EA5CE8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David Kemp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1A7A" w14:textId="5905BE98" w:rsidR="00397755" w:rsidRPr="00EA5CE8" w:rsidRDefault="00397755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SECAS</w:t>
            </w:r>
          </w:p>
        </w:tc>
      </w:tr>
      <w:tr w:rsidR="00DA225E" w:rsidRPr="00EA5CE8" w14:paraId="6C9CD517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DD64" w14:textId="3D9F8210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Harry Jones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2922" w14:textId="7E3B11D9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SECAS</w:t>
            </w:r>
          </w:p>
        </w:tc>
      </w:tr>
      <w:tr w:rsidR="003B12CA" w:rsidRPr="00EA5CE8" w14:paraId="47181907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66FE" w14:textId="5A8D6D86" w:rsidR="003B12CA" w:rsidRPr="00EA5CE8" w:rsidRDefault="00397755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David Walsh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299" w14:textId="12FFFD1F" w:rsidR="003B12CA" w:rsidRPr="00EA5CE8" w:rsidRDefault="00397755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DCC</w:t>
            </w:r>
          </w:p>
        </w:tc>
      </w:tr>
      <w:tr w:rsidR="003B12CA" w:rsidRPr="00EA5CE8" w14:paraId="1FE6D37F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175E" w14:textId="62A312DB" w:rsidR="003B12CA" w:rsidRPr="00EA5CE8" w:rsidRDefault="00397755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Remi Oluwabamise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50D5" w14:textId="5C1924A5" w:rsidR="003B12CA" w:rsidRPr="00EA5CE8" w:rsidRDefault="00397755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DCC</w:t>
            </w:r>
          </w:p>
        </w:tc>
      </w:tr>
      <w:tr w:rsidR="00DA225E" w:rsidRPr="00EA5CE8" w14:paraId="73C167F9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315" w14:textId="6E169C5D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Del Kang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C5D5" w14:textId="0DE01B32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DCC</w:t>
            </w:r>
          </w:p>
        </w:tc>
      </w:tr>
      <w:tr w:rsidR="00DA225E" w:rsidRPr="00EA5CE8" w14:paraId="6E0F5CD6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71D5" w14:textId="0BDB6CBB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Abhijit Pal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E69A" w14:textId="49DA5F78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DCC</w:t>
            </w:r>
          </w:p>
        </w:tc>
      </w:tr>
      <w:tr w:rsidR="00DA225E" w:rsidRPr="00EA5CE8" w14:paraId="24D2C179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C772" w14:textId="0DEA3503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Richard Hilton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CB1" w14:textId="4C21D7D4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DCC</w:t>
            </w:r>
          </w:p>
        </w:tc>
      </w:tr>
      <w:tr w:rsidR="00DA225E" w:rsidRPr="00EA5CE8" w14:paraId="378DFAE7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50D9" w14:textId="73327298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Charlotte Semp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54BE" w14:textId="47AB666A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DCC</w:t>
            </w:r>
          </w:p>
        </w:tc>
      </w:tr>
      <w:tr w:rsidR="00C509B8" w:rsidRPr="00EA5CE8" w14:paraId="2EA76EF8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C5B3" w14:textId="0B27ECA8" w:rsidR="00C509B8" w:rsidRDefault="00C509B8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 w:rsidRPr="00C509B8">
              <w:rPr>
                <w:rFonts w:cs="Arial"/>
                <w:color w:val="404040"/>
                <w:szCs w:val="20"/>
                <w:lang w:eastAsia="en-GB"/>
              </w:rPr>
              <w:t>Eleanor Taylor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34CC" w14:textId="67CDF7CA" w:rsidR="00C509B8" w:rsidRDefault="00C509B8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BEIS</w:t>
            </w:r>
          </w:p>
        </w:tc>
      </w:tr>
      <w:tr w:rsidR="00DA225E" w:rsidRPr="00EA5CE8" w14:paraId="0916CB4C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448C" w14:textId="7C55B59D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Rochelle Harrison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646F" w14:textId="2AADA644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British Gas</w:t>
            </w:r>
          </w:p>
        </w:tc>
      </w:tr>
      <w:tr w:rsidR="00DA225E" w:rsidRPr="00EA5CE8" w14:paraId="552FC73D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2C99" w14:textId="51AEA50B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Lynne Hargrave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7FF" w14:textId="5C6B82F2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Calvin Capital</w:t>
            </w:r>
          </w:p>
        </w:tc>
      </w:tr>
      <w:tr w:rsidR="00DA225E" w:rsidRPr="00EA5CE8" w14:paraId="14331826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D6D0" w14:textId="1DBC8236" w:rsidR="00DA225E" w:rsidRDefault="00DA225E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Mudhuban Kumar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5E8" w14:textId="6D5AAE67" w:rsidR="00DA225E" w:rsidRDefault="00DA225E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Carbon Laces</w:t>
            </w:r>
          </w:p>
        </w:tc>
      </w:tr>
      <w:tr w:rsidR="009B4841" w:rsidRPr="00EA5CE8" w14:paraId="0F623733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52A" w14:textId="7FBB3110" w:rsidR="009B4841" w:rsidRPr="00EA5CE8" w:rsidRDefault="009B4841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Julie Geary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7F0" w14:textId="4B563FD4" w:rsidR="009B4841" w:rsidRPr="00EA5CE8" w:rsidRDefault="009B4841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E.ON</w:t>
            </w:r>
          </w:p>
        </w:tc>
      </w:tr>
      <w:tr w:rsidR="009B4841" w:rsidRPr="00EA5CE8" w14:paraId="03EB5F66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C121" w14:textId="5D8D8198" w:rsidR="009B4841" w:rsidRDefault="009B4841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Alex Hurcombe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0D8C" w14:textId="2958A257" w:rsidR="009B4841" w:rsidRDefault="009B4841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EDF</w:t>
            </w:r>
            <w:r w:rsidR="00C509B8">
              <w:rPr>
                <w:rFonts w:cs="Times New Roman"/>
                <w:color w:val="404040"/>
                <w:lang w:eastAsia="en-GB"/>
              </w:rPr>
              <w:t xml:space="preserve"> Energy</w:t>
            </w:r>
          </w:p>
        </w:tc>
      </w:tr>
      <w:tr w:rsidR="00DA225E" w:rsidRPr="00EA5CE8" w14:paraId="5F31B015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078" w14:textId="5D760B7F" w:rsidR="00DA225E" w:rsidRDefault="00DA225E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Catherine Duggan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F848" w14:textId="3610B3DB" w:rsidR="00DA225E" w:rsidRDefault="00DA225E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Electricity North West</w:t>
            </w:r>
          </w:p>
        </w:tc>
      </w:tr>
      <w:tr w:rsidR="00DA225E" w:rsidRPr="00EA5CE8" w14:paraId="122FC7E5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FF3" w14:textId="34BC82D6" w:rsidR="00DA225E" w:rsidRDefault="00DA225E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Daniel Davis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26B5" w14:textId="48C3F0FE" w:rsidR="00DA225E" w:rsidRDefault="00DA225E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ESG Global</w:t>
            </w:r>
          </w:p>
        </w:tc>
      </w:tr>
      <w:tr w:rsidR="00DA225E" w:rsidRPr="00EA5CE8" w14:paraId="5637E391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777" w14:textId="471774F7" w:rsidR="00DA225E" w:rsidRDefault="00DA225E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Alastair Cobb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390F" w14:textId="0CD39222" w:rsidR="00DA225E" w:rsidRDefault="00C509B8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Landis + Gyr</w:t>
            </w:r>
          </w:p>
        </w:tc>
      </w:tr>
      <w:tr w:rsidR="00C509B8" w:rsidRPr="00EA5CE8" w14:paraId="4582468D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397" w14:textId="7CBD67B4" w:rsidR="00C509B8" w:rsidRDefault="00C509B8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Alan Creighton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5477" w14:textId="59438FC8" w:rsidR="00C509B8" w:rsidRDefault="00C509B8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Northern Powergrid</w:t>
            </w:r>
          </w:p>
        </w:tc>
      </w:tr>
      <w:tr w:rsidR="00DA225E" w:rsidRPr="00EA5CE8" w14:paraId="29DB5C13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44B" w14:textId="74B918FA" w:rsidR="00DA225E" w:rsidRDefault="00DA225E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John Noad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CD15" w14:textId="289C0DE8" w:rsidR="00DA225E" w:rsidRDefault="00DA225E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NPower</w:t>
            </w:r>
          </w:p>
        </w:tc>
      </w:tr>
      <w:tr w:rsidR="009B4841" w:rsidRPr="00EA5CE8" w14:paraId="5B54C1A8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F00E" w14:textId="3A94A9FF" w:rsidR="009B4841" w:rsidRDefault="009B4841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Ralph Baxter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86F" w14:textId="744A7A45" w:rsidR="009B4841" w:rsidRDefault="009B4841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Octopus Energy</w:t>
            </w:r>
          </w:p>
        </w:tc>
      </w:tr>
      <w:tr w:rsidR="00B5188D" w:rsidRPr="00EA5CE8" w14:paraId="1F8E7DFD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F0A5" w14:textId="6C4E47BB" w:rsidR="00B5188D" w:rsidRDefault="00B5188D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Jessica Mullen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0A4" w14:textId="70845DBF" w:rsidR="00B5188D" w:rsidRDefault="00B5188D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Octopus Energy</w:t>
            </w:r>
          </w:p>
        </w:tc>
      </w:tr>
      <w:tr w:rsidR="00DA225E" w:rsidRPr="00EA5CE8" w14:paraId="299EB18E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E39A" w14:textId="348BE2A9" w:rsidR="00DA225E" w:rsidRDefault="00DA225E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Michael Walls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6FE0" w14:textId="0E59550D" w:rsidR="00DA225E" w:rsidRDefault="00DA225E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Ofgem</w:t>
            </w:r>
          </w:p>
        </w:tc>
      </w:tr>
      <w:tr w:rsidR="009B4841" w:rsidRPr="00EA5CE8" w14:paraId="6C28F832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9C3D" w14:textId="1A3D1942" w:rsidR="009B4841" w:rsidRDefault="009B4841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Emslie Law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A761" w14:textId="2B99E377" w:rsidR="009B4841" w:rsidRDefault="009B4841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OVO</w:t>
            </w:r>
            <w:r w:rsidR="00C509B8">
              <w:rPr>
                <w:rFonts w:cs="Times New Roman"/>
                <w:color w:val="404040"/>
                <w:lang w:eastAsia="en-GB"/>
              </w:rPr>
              <w:t xml:space="preserve"> Energy</w:t>
            </w:r>
          </w:p>
        </w:tc>
      </w:tr>
      <w:tr w:rsidR="00DA225E" w:rsidRPr="00EA5CE8" w14:paraId="55FA7E42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EA9A" w14:textId="7FDB940E" w:rsidR="00DA225E" w:rsidRDefault="00DA225E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Mafs Rahman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F2EF" w14:textId="2846B127" w:rsidR="00DA225E" w:rsidRDefault="00DA225E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Scottish Power</w:t>
            </w:r>
          </w:p>
        </w:tc>
      </w:tr>
      <w:tr w:rsidR="003B12CA" w:rsidRPr="00EA5CE8" w14:paraId="5275BF5E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4E2" w14:textId="3B82343B" w:rsidR="003B12CA" w:rsidRPr="00EA5CE8" w:rsidRDefault="00397755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Matthew Alexander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F78" w14:textId="338A7BE8" w:rsidR="003B12CA" w:rsidRPr="00EA5CE8" w:rsidRDefault="00397755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SSEN</w:t>
            </w:r>
          </w:p>
        </w:tc>
      </w:tr>
      <w:tr w:rsidR="003B12CA" w:rsidRPr="00EA5CE8" w14:paraId="5023AE20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071F" w14:textId="74672989" w:rsidR="003B12CA" w:rsidRPr="00EA5CE8" w:rsidRDefault="00397755" w:rsidP="00AB0CFD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Rachel Norberg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078" w14:textId="6CBE8BCA" w:rsidR="003B12CA" w:rsidRPr="00EA5CE8" w:rsidRDefault="00397755" w:rsidP="00AB0CFD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Utilita</w:t>
            </w:r>
          </w:p>
        </w:tc>
      </w:tr>
      <w:tr w:rsidR="009B4841" w:rsidRPr="00EA5CE8" w14:paraId="00696628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1AAB" w14:textId="7FD6627C" w:rsidR="009B4841" w:rsidRPr="00EA5CE8" w:rsidRDefault="009B4841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Gemma Slaney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F087" w14:textId="5E8D273B" w:rsidR="009B4841" w:rsidRPr="00EA5CE8" w:rsidRDefault="009B4841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WPD</w:t>
            </w:r>
          </w:p>
        </w:tc>
      </w:tr>
      <w:tr w:rsidR="00DA225E" w:rsidRPr="00EA5CE8" w14:paraId="3935493A" w14:textId="77777777" w:rsidTr="00A34E33">
        <w:trPr>
          <w:trHeight w:val="28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93BE" w14:textId="5A3419FF" w:rsidR="00DA225E" w:rsidRDefault="00DA225E" w:rsidP="009B4841">
            <w:pPr>
              <w:spacing w:before="30" w:after="30"/>
              <w:rPr>
                <w:rFonts w:cs="Arial"/>
                <w:color w:val="404040"/>
                <w:szCs w:val="20"/>
                <w:lang w:eastAsia="en-GB"/>
              </w:rPr>
            </w:pPr>
            <w:r>
              <w:rPr>
                <w:rFonts w:cs="Arial"/>
                <w:color w:val="404040"/>
                <w:szCs w:val="20"/>
                <w:lang w:eastAsia="en-GB"/>
              </w:rPr>
              <w:t>Kelly Kinsman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B763" w14:textId="7CB369D8" w:rsidR="00DA225E" w:rsidRDefault="00DA225E" w:rsidP="009B4841">
            <w:pPr>
              <w:spacing w:before="30" w:after="30"/>
              <w:rPr>
                <w:rFonts w:cs="Times New Roman"/>
                <w:color w:val="404040"/>
                <w:lang w:eastAsia="en-GB"/>
              </w:rPr>
            </w:pPr>
            <w:r>
              <w:rPr>
                <w:rFonts w:cs="Times New Roman"/>
                <w:color w:val="404040"/>
                <w:lang w:eastAsia="en-GB"/>
              </w:rPr>
              <w:t>WPD</w:t>
            </w:r>
          </w:p>
        </w:tc>
      </w:tr>
    </w:tbl>
    <w:p w14:paraId="5CF0E901" w14:textId="3785E331" w:rsidR="00E42FFB" w:rsidRDefault="000055AC" w:rsidP="00F556BC">
      <w:pPr>
        <w:pStyle w:val="Subtitle"/>
      </w:pPr>
      <w:r>
        <w:lastRenderedPageBreak/>
        <w:t>Overview</w:t>
      </w:r>
    </w:p>
    <w:p w14:paraId="3CF41113" w14:textId="49B82026" w:rsidR="00E91C2A" w:rsidRDefault="00AD70B0" w:rsidP="000055AC">
      <w:r>
        <w:t xml:space="preserve">The Smart </w:t>
      </w:r>
      <w:r w:rsidR="00A001CC">
        <w:t>E</w:t>
      </w:r>
      <w:r>
        <w:t>nergy Code Administrator and Secretariat (</w:t>
      </w:r>
      <w:r w:rsidR="000055AC">
        <w:t>SECAS</w:t>
      </w:r>
      <w:r>
        <w:t>)</w:t>
      </w:r>
      <w:r w:rsidR="000055AC">
        <w:t xml:space="preserve"> provided an overview of the issue identified by </w:t>
      </w:r>
      <w:hyperlink r:id="rId8" w:history="1">
        <w:r w:rsidR="000055AC" w:rsidRPr="00583EC5">
          <w:rPr>
            <w:rStyle w:val="Hyperlink"/>
          </w:rPr>
          <w:t>MP</w:t>
        </w:r>
        <w:r w:rsidR="00F64567">
          <w:rPr>
            <w:rStyle w:val="Hyperlink"/>
          </w:rPr>
          <w:t>096</w:t>
        </w:r>
        <w:r w:rsidR="000D7BCC" w:rsidRPr="00583EC5">
          <w:rPr>
            <w:rStyle w:val="Hyperlink"/>
          </w:rPr>
          <w:t xml:space="preserve"> </w:t>
        </w:r>
        <w:r w:rsidR="00583EC5" w:rsidRPr="00583EC5">
          <w:rPr>
            <w:rStyle w:val="Hyperlink"/>
          </w:rPr>
          <w:t>‘</w:t>
        </w:r>
        <w:r w:rsidR="00F64567">
          <w:rPr>
            <w:rStyle w:val="Hyperlink"/>
          </w:rPr>
          <w:t>DNO Power Outage Alerts</w:t>
        </w:r>
        <w:r w:rsidR="00583EC5" w:rsidRPr="00583EC5">
          <w:rPr>
            <w:rStyle w:val="Hyperlink"/>
          </w:rPr>
          <w:t>’</w:t>
        </w:r>
      </w:hyperlink>
      <w:r w:rsidR="00F64567">
        <w:t xml:space="preserve"> and the modification’s progression so far</w:t>
      </w:r>
      <w:r w:rsidR="000D7BCC">
        <w:t>.</w:t>
      </w:r>
      <w:r w:rsidR="00EB17D8">
        <w:t xml:space="preserve"> </w:t>
      </w:r>
      <w:r w:rsidR="00DF7D1A">
        <w:t xml:space="preserve">The </w:t>
      </w:r>
      <w:r w:rsidR="00F64567">
        <w:t>Data Communications Company (</w:t>
      </w:r>
      <w:r w:rsidR="00DF7D1A">
        <w:t>DCC</w:t>
      </w:r>
      <w:r w:rsidR="00F64567">
        <w:t>)</w:t>
      </w:r>
      <w:r w:rsidR="00DF7D1A">
        <w:t xml:space="preserve"> also provided an update </w:t>
      </w:r>
      <w:r w:rsidR="00C509B8">
        <w:t>on</w:t>
      </w:r>
      <w:r w:rsidR="00F64567">
        <w:t xml:space="preserve"> the business requirements and the intent of holding ad-hoc Working Group sessions</w:t>
      </w:r>
      <w:r w:rsidR="00DF7D1A">
        <w:t>.</w:t>
      </w:r>
    </w:p>
    <w:p w14:paraId="5471BFC2" w14:textId="77777777" w:rsidR="009949FA" w:rsidRDefault="009949FA" w:rsidP="000055AC"/>
    <w:p w14:paraId="4C3492B5" w14:textId="77777777" w:rsidR="000055AC" w:rsidRDefault="000055AC" w:rsidP="00F556BC">
      <w:pPr>
        <w:pStyle w:val="Subheading"/>
      </w:pPr>
      <w:r w:rsidRPr="009949FA">
        <w:t>Issue</w:t>
      </w:r>
      <w:r>
        <w:t>:</w:t>
      </w:r>
    </w:p>
    <w:p w14:paraId="7FAA8C94" w14:textId="373E640E" w:rsidR="009949FA" w:rsidRDefault="00173D84" w:rsidP="000D7BCC">
      <w:pPr>
        <w:pStyle w:val="ListParagraph"/>
      </w:pPr>
      <w:r>
        <w:t xml:space="preserve">Smart Energy Code (SEC) Section H ‘DCC Services’ H3.14 states that </w:t>
      </w:r>
      <w:r w:rsidRPr="00173D84">
        <w:t>Alerts must be sent to the U</w:t>
      </w:r>
      <w:r>
        <w:t>ser</w:t>
      </w:r>
      <w:r w:rsidRPr="00173D84">
        <w:t xml:space="preserve">, in this case the </w:t>
      </w:r>
      <w:r w:rsidR="00C509B8">
        <w:t>Distribution Network Operator (</w:t>
      </w:r>
      <w:r w:rsidRPr="00173D84">
        <w:t>DNO</w:t>
      </w:r>
      <w:r w:rsidR="00C509B8">
        <w:t>)</w:t>
      </w:r>
      <w:r w:rsidRPr="00173D84">
        <w:t>, within 60 seconds which is measured from the Alert being communicated to or generated by the Communications Hub</w:t>
      </w:r>
      <w:r>
        <w:t>. This includes Power Outage Alerts (POAs) and Power Restoration Alerts (PRAs).</w:t>
      </w:r>
    </w:p>
    <w:p w14:paraId="60A5FC45" w14:textId="0DA2B67D" w:rsidR="00507273" w:rsidRDefault="00173D84" w:rsidP="000D7BCC">
      <w:pPr>
        <w:pStyle w:val="ListParagraph"/>
      </w:pPr>
      <w:r>
        <w:t>The DCC are currently non-compliant with the SEC.</w:t>
      </w:r>
    </w:p>
    <w:p w14:paraId="177A1A6E" w14:textId="50D689AE" w:rsidR="00E6727F" w:rsidRDefault="00173D84" w:rsidP="000D7BCC">
      <w:pPr>
        <w:pStyle w:val="ListParagraph"/>
      </w:pPr>
      <w:r>
        <w:t>Due to Communications Hub and Network design constraints, the DCC cannot meet the SEC obligation in its current form.</w:t>
      </w:r>
    </w:p>
    <w:p w14:paraId="516CCA7A" w14:textId="58CD49EF" w:rsidR="00173D84" w:rsidRDefault="00173D84" w:rsidP="000D7BCC">
      <w:pPr>
        <w:pStyle w:val="ListParagraph"/>
      </w:pPr>
      <w:r>
        <w:t xml:space="preserve">Primary impact: </w:t>
      </w:r>
      <w:r w:rsidRPr="00173D84">
        <w:t>DNOs are not able to deliver the expected benefits and cost efficiencies from smart meter POAs and PRAs</w:t>
      </w:r>
      <w:r>
        <w:t>.</w:t>
      </w:r>
    </w:p>
    <w:p w14:paraId="62040712" w14:textId="77777777" w:rsidR="00583EC5" w:rsidRDefault="00583EC5" w:rsidP="00D160AF"/>
    <w:p w14:paraId="3C3F8A68" w14:textId="5C9E7E41" w:rsidR="005776F4" w:rsidRDefault="00173D84" w:rsidP="00F556BC">
      <w:pPr>
        <w:pStyle w:val="Subheading"/>
      </w:pPr>
      <w:r>
        <w:t xml:space="preserve">DCC </w:t>
      </w:r>
      <w:r w:rsidR="00725163">
        <w:t>presentation</w:t>
      </w:r>
      <w:r w:rsidR="005776F4">
        <w:t>:</w:t>
      </w:r>
    </w:p>
    <w:p w14:paraId="0C648399" w14:textId="297913B4" w:rsidR="00725163" w:rsidRDefault="00725163" w:rsidP="00725163">
      <w:pPr>
        <w:pStyle w:val="ListParagraph"/>
      </w:pPr>
      <w:r>
        <w:t>The DCC provided a detailed timeline of MP096’s progression.</w:t>
      </w:r>
    </w:p>
    <w:p w14:paraId="24F59CDC" w14:textId="01485E63" w:rsidR="00725163" w:rsidRDefault="00725163" w:rsidP="00725163">
      <w:pPr>
        <w:pStyle w:val="ListParagraph"/>
      </w:pPr>
      <w:r>
        <w:t>DCC current performance:</w:t>
      </w:r>
    </w:p>
    <w:p w14:paraId="5059A9BF" w14:textId="27433A02" w:rsidR="00725163" w:rsidRDefault="00725163" w:rsidP="00725163">
      <w:pPr>
        <w:pStyle w:val="ListParagraph"/>
        <w:numPr>
          <w:ilvl w:val="1"/>
          <w:numId w:val="3"/>
        </w:numPr>
      </w:pPr>
      <w:r>
        <w:t>95% of POAs received within 15 minutes</w:t>
      </w:r>
    </w:p>
    <w:p w14:paraId="59152A7A" w14:textId="4CA27531" w:rsidR="00725163" w:rsidRDefault="00725163" w:rsidP="00725163">
      <w:pPr>
        <w:pStyle w:val="ListParagraph"/>
        <w:numPr>
          <w:ilvl w:val="1"/>
          <w:numId w:val="3"/>
        </w:numPr>
      </w:pPr>
      <w:r>
        <w:t>95% of PRAs received within 45 minutes</w:t>
      </w:r>
    </w:p>
    <w:p w14:paraId="052CC605" w14:textId="3AC59DC6" w:rsidR="00725163" w:rsidRDefault="00725163" w:rsidP="00725163">
      <w:pPr>
        <w:pStyle w:val="ListParagraph"/>
      </w:pPr>
      <w:r>
        <w:t>DCC proposed business requirement:</w:t>
      </w:r>
    </w:p>
    <w:p w14:paraId="4A428BEC" w14:textId="368804E7" w:rsidR="00725163" w:rsidRDefault="00725163" w:rsidP="00725163">
      <w:pPr>
        <w:pStyle w:val="ListParagraph"/>
        <w:numPr>
          <w:ilvl w:val="1"/>
          <w:numId w:val="3"/>
        </w:numPr>
      </w:pPr>
      <w:r>
        <w:t>95% of POAs to be delivered within 10 minutes</w:t>
      </w:r>
    </w:p>
    <w:p w14:paraId="1B30D62E" w14:textId="252E2ED2" w:rsidR="00725163" w:rsidRDefault="00725163" w:rsidP="00725163">
      <w:pPr>
        <w:pStyle w:val="ListParagraph"/>
        <w:numPr>
          <w:ilvl w:val="1"/>
          <w:numId w:val="3"/>
        </w:numPr>
      </w:pPr>
      <w:r>
        <w:t>95% of PRAs to be delivered within 8 minutes</w:t>
      </w:r>
    </w:p>
    <w:p w14:paraId="77C7044E" w14:textId="3A39457D" w:rsidR="00725163" w:rsidRDefault="00725163" w:rsidP="00725163">
      <w:pPr>
        <w:pStyle w:val="ListParagraph"/>
        <w:numPr>
          <w:ilvl w:val="0"/>
          <w:numId w:val="0"/>
        </w:numPr>
        <w:ind w:left="1440"/>
      </w:pPr>
      <w:r>
        <w:t>(this is the minimum level of performance improvement achievable)</w:t>
      </w:r>
    </w:p>
    <w:p w14:paraId="316EA791" w14:textId="469784D6" w:rsidR="00E31D79" w:rsidRDefault="009949FA" w:rsidP="00F556BC">
      <w:pPr>
        <w:pStyle w:val="Subtitle"/>
      </w:pPr>
      <w:r>
        <w:t>Working Group d</w:t>
      </w:r>
      <w:r w:rsidR="00E31D79">
        <w:t>iscussions</w:t>
      </w:r>
    </w:p>
    <w:p w14:paraId="55D21970" w14:textId="357D3469" w:rsidR="00E50945" w:rsidRDefault="003025D8" w:rsidP="00F85CE1">
      <w:r>
        <w:t>The Working Group agreed that the issue is clear and defined, however</w:t>
      </w:r>
      <w:r w:rsidR="009F269D">
        <w:t>,</w:t>
      </w:r>
      <w:r>
        <w:t xml:space="preserve"> wanted to understand the SEC Panel’s view on a modification being raised to address a </w:t>
      </w:r>
      <w:r w:rsidR="00F95DE1">
        <w:t xml:space="preserve">SEC </w:t>
      </w:r>
      <w:r>
        <w:t xml:space="preserve">non-compliance. The SEC Panel did acknowledge that this is the case, </w:t>
      </w:r>
      <w:r w:rsidR="009F269D">
        <w:t xml:space="preserve">but </w:t>
      </w:r>
      <w:r>
        <w:t>felt that the issue was clear and that the modification should progress to the Refinement Process.</w:t>
      </w:r>
      <w:r w:rsidR="0046501B">
        <w:t xml:space="preserve"> A member suggested that a new costing mechanism should be put in place </w:t>
      </w:r>
      <w:r w:rsidR="00916999">
        <w:t>to cover the costs of the solution</w:t>
      </w:r>
      <w:r w:rsidR="00F95DE1">
        <w:t xml:space="preserve"> as in its current guise, SEC Parties would have to pay to address the non-compliance</w:t>
      </w:r>
      <w:r w:rsidR="00916999">
        <w:t>.</w:t>
      </w:r>
      <w:r w:rsidR="00713251">
        <w:t xml:space="preserve"> Another member queried whether the Modification </w:t>
      </w:r>
      <w:r w:rsidR="009F269D">
        <w:t>P</w:t>
      </w:r>
      <w:r w:rsidR="00713251">
        <w:t>rocess provided the best forum for this issue to be discussed and resolved.</w:t>
      </w:r>
    </w:p>
    <w:p w14:paraId="5C83C624" w14:textId="6AF57234" w:rsidR="009F269D" w:rsidRDefault="00916999" w:rsidP="00F85CE1">
      <w:r>
        <w:t xml:space="preserve">A Network Party representative </w:t>
      </w:r>
      <w:r w:rsidR="009F269D">
        <w:t>suggested</w:t>
      </w:r>
      <w:r>
        <w:t xml:space="preserve"> two solution </w:t>
      </w:r>
      <w:r w:rsidR="009F269D">
        <w:t>options:</w:t>
      </w:r>
    </w:p>
    <w:p w14:paraId="33D3495A" w14:textId="6DB120BE" w:rsidR="009F269D" w:rsidRDefault="009F269D" w:rsidP="008A3C82">
      <w:pPr>
        <w:pStyle w:val="ListParagraph"/>
        <w:numPr>
          <w:ilvl w:val="0"/>
          <w:numId w:val="9"/>
        </w:numPr>
      </w:pPr>
      <w:r>
        <w:t>T</w:t>
      </w:r>
      <w:r w:rsidR="00916999">
        <w:t xml:space="preserve">he SEC is </w:t>
      </w:r>
      <w:r>
        <w:t xml:space="preserve">updated </w:t>
      </w:r>
      <w:r w:rsidR="00916999">
        <w:t xml:space="preserve">to </w:t>
      </w:r>
      <w:r>
        <w:t xml:space="preserve">align with </w:t>
      </w:r>
      <w:r w:rsidR="00916999">
        <w:t>what the DCC can currently deliver</w:t>
      </w:r>
    </w:p>
    <w:p w14:paraId="3514E7D7" w14:textId="6486E68F" w:rsidR="00966F93" w:rsidRDefault="009F269D" w:rsidP="008A3C82">
      <w:pPr>
        <w:pStyle w:val="ListParagraph"/>
        <w:numPr>
          <w:ilvl w:val="0"/>
          <w:numId w:val="9"/>
        </w:numPr>
      </w:pPr>
      <w:r>
        <w:lastRenderedPageBreak/>
        <w:t>DCC S</w:t>
      </w:r>
      <w:r w:rsidR="00916999">
        <w:t xml:space="preserve">ystem improvements are made </w:t>
      </w:r>
      <w:r w:rsidR="00966F93">
        <w:t xml:space="preserve">to improve the DCC’s POA/PRA performance but </w:t>
      </w:r>
      <w:r w:rsidR="00916999">
        <w:t xml:space="preserve">at a </w:t>
      </w:r>
      <w:r w:rsidR="00966F93">
        <w:t xml:space="preserve">significant </w:t>
      </w:r>
      <w:r w:rsidR="00916999">
        <w:t>cost</w:t>
      </w:r>
    </w:p>
    <w:p w14:paraId="7992A7F0" w14:textId="38C0E9DF" w:rsidR="00B50BDD" w:rsidRDefault="00B50BDD" w:rsidP="00F85CE1">
      <w:r>
        <w:t xml:space="preserve">A member asked whether the </w:t>
      </w:r>
      <w:r w:rsidR="00966F93">
        <w:t>principal</w:t>
      </w:r>
      <w:r>
        <w:t xml:space="preserve"> points of failure that lead to the DCC’s non-compliance</w:t>
      </w:r>
      <w:r w:rsidR="00966F93">
        <w:t xml:space="preserve"> were clear</w:t>
      </w:r>
      <w:r>
        <w:t>. It was confirmed that this was set out within the Technical Study Paper.</w:t>
      </w:r>
    </w:p>
    <w:p w14:paraId="24BB961A" w14:textId="22528642" w:rsidR="00C86B22" w:rsidRDefault="00C86B22" w:rsidP="00F85CE1">
      <w:r>
        <w:t>The Working Group discussed how</w:t>
      </w:r>
      <w:r w:rsidR="00966F93">
        <w:t xml:space="preserve"> MP096 differs from the usual SEC modification framework</w:t>
      </w:r>
      <w:r>
        <w:t>, due to the Technical Study undertaken by the DCC and Service Providers</w:t>
      </w:r>
      <w:r w:rsidR="00966F93">
        <w:t xml:space="preserve"> before it reached refinement</w:t>
      </w:r>
      <w:r>
        <w:t xml:space="preserve">. </w:t>
      </w:r>
      <w:r w:rsidR="00966F93">
        <w:t>T</w:t>
      </w:r>
      <w:r>
        <w:t>he Service Providers have already completed</w:t>
      </w:r>
      <w:r w:rsidR="00966F93">
        <w:t xml:space="preserve"> some of</w:t>
      </w:r>
      <w:r>
        <w:t xml:space="preserve"> the work that would </w:t>
      </w:r>
      <w:r w:rsidR="00F95DE1">
        <w:t xml:space="preserve">normally </w:t>
      </w:r>
      <w:r>
        <w:t xml:space="preserve">be required when completing a DCC Preliminary Assessment. The DCC acknowledged that the Technical Study took place between January 2020 and August 2020, and </w:t>
      </w:r>
      <w:r w:rsidR="00966F93">
        <w:t xml:space="preserve">have </w:t>
      </w:r>
      <w:r>
        <w:t xml:space="preserve">acquired Rough Order of Magnitude (ROM) costs </w:t>
      </w:r>
      <w:r w:rsidR="00966F93">
        <w:t xml:space="preserve">for each of its solution options </w:t>
      </w:r>
      <w:r>
        <w:t xml:space="preserve">as well as the cost to complete a </w:t>
      </w:r>
      <w:r w:rsidR="00966F93">
        <w:t>f</w:t>
      </w:r>
      <w:r>
        <w:t>ull Impact Assessment.</w:t>
      </w:r>
    </w:p>
    <w:p w14:paraId="303B1A20" w14:textId="5FB54148" w:rsidR="00C86B22" w:rsidRDefault="00C86B22" w:rsidP="00F85CE1">
      <w:r>
        <w:t xml:space="preserve">A member asked </w:t>
      </w:r>
      <w:r w:rsidR="00F95DE1">
        <w:t xml:space="preserve">for </w:t>
      </w:r>
      <w:r>
        <w:t xml:space="preserve">the Authority’s opinion of MP096. The Authority </w:t>
      </w:r>
      <w:r w:rsidR="007F66F1">
        <w:t xml:space="preserve">stated that </w:t>
      </w:r>
      <w:r w:rsidR="00966F93">
        <w:t>m</w:t>
      </w:r>
      <w:r w:rsidR="007F66F1">
        <w:t xml:space="preserve">odifications are industry-led and that </w:t>
      </w:r>
      <w:r w:rsidR="00966F93">
        <w:t>it would expect</w:t>
      </w:r>
      <w:r w:rsidR="007F66F1">
        <w:t xml:space="preserve"> to see </w:t>
      </w:r>
      <w:r w:rsidR="00966F93">
        <w:t xml:space="preserve">a </w:t>
      </w:r>
      <w:r w:rsidR="007F66F1">
        <w:t>detail</w:t>
      </w:r>
      <w:r w:rsidR="00966F93">
        <w:t>ed</w:t>
      </w:r>
      <w:r w:rsidR="007F66F1">
        <w:t xml:space="preserve"> </w:t>
      </w:r>
      <w:r w:rsidR="00966F93">
        <w:t>c</w:t>
      </w:r>
      <w:r w:rsidR="007F66F1">
        <w:t>ost-</w:t>
      </w:r>
      <w:r w:rsidR="00966F93">
        <w:t>b</w:t>
      </w:r>
      <w:r w:rsidR="007F66F1">
        <w:t xml:space="preserve">enefit </w:t>
      </w:r>
      <w:r w:rsidR="00966F93">
        <w:t>a</w:t>
      </w:r>
      <w:r w:rsidR="007F66F1">
        <w:t xml:space="preserve">nalysis </w:t>
      </w:r>
      <w:r w:rsidR="00966F93">
        <w:t xml:space="preserve">for </w:t>
      </w:r>
      <w:r w:rsidR="007F66F1">
        <w:t xml:space="preserve">doing nothing, a simple legal text change to match current </w:t>
      </w:r>
      <w:r w:rsidR="00966F93">
        <w:t xml:space="preserve">DCC </w:t>
      </w:r>
      <w:r w:rsidR="007F66F1">
        <w:t xml:space="preserve">capability, and </w:t>
      </w:r>
      <w:r w:rsidR="00966F93">
        <w:t xml:space="preserve">for </w:t>
      </w:r>
      <w:r w:rsidR="007F66F1">
        <w:t xml:space="preserve">the </w:t>
      </w:r>
      <w:r w:rsidR="00966F93">
        <w:t>DCC S</w:t>
      </w:r>
      <w:r w:rsidR="007F66F1">
        <w:t>ystem changes. The Authority confirmed that they will investigate the DCC’s non-compliance separately from the modification, as this is their current process for all other non-compliance issues.</w:t>
      </w:r>
    </w:p>
    <w:p w14:paraId="6D75B691" w14:textId="150DCC57" w:rsidR="004A3385" w:rsidRDefault="004A3385" w:rsidP="00F85CE1">
      <w:r>
        <w:t xml:space="preserve">A member highlighted that the modification’s progression and ultimately its decision will be </w:t>
      </w:r>
      <w:r w:rsidR="00966F93">
        <w:t xml:space="preserve">assessed </w:t>
      </w:r>
      <w:r>
        <w:t>against the SEC Objectives. It is important that this is considered when building a robust solution as this will form the basis of a decision to approve or reject the modification</w:t>
      </w:r>
      <w:r w:rsidR="008811D5">
        <w:t>, along with a clear cost-benefit analysis</w:t>
      </w:r>
      <w:r>
        <w:t>.</w:t>
      </w:r>
    </w:p>
    <w:p w14:paraId="35AA39B0" w14:textId="5259F56B" w:rsidR="00F556BC" w:rsidRDefault="00F556BC" w:rsidP="00F85CE1"/>
    <w:p w14:paraId="6028DF10" w14:textId="08CAD4BC" w:rsidR="00F556BC" w:rsidRDefault="00F556BC" w:rsidP="008A3C82">
      <w:pPr>
        <w:pStyle w:val="Subheading"/>
      </w:pPr>
      <w:r>
        <w:t>DCC’s proposed business requirements</w:t>
      </w:r>
    </w:p>
    <w:p w14:paraId="78041DC0" w14:textId="522739C8" w:rsidR="00F95DE1" w:rsidRDefault="004A3385" w:rsidP="00F85CE1">
      <w:r>
        <w:t>The DCC presented the proposed business requirements</w:t>
      </w:r>
      <w:r w:rsidR="00F95DE1">
        <w:t xml:space="preserve"> for </w:t>
      </w:r>
      <w:r w:rsidR="00966F93">
        <w:t xml:space="preserve">the DCC System </w:t>
      </w:r>
      <w:r w:rsidR="00F95DE1">
        <w:t>changes. The requirements</w:t>
      </w:r>
      <w:r>
        <w:t xml:space="preserve"> incorporate the minimum level of performance improvement achievable. The requirement states that 95% of POAs are to be delivered within ten minutes and 95% of PRAs within 8 minutes. </w:t>
      </w:r>
    </w:p>
    <w:p w14:paraId="70DDB23F" w14:textId="1804E0C3" w:rsidR="004A3385" w:rsidRDefault="004A3385" w:rsidP="00F85CE1">
      <w:r>
        <w:t xml:space="preserve">A Network Party informed the Working Group that in order to deliver the PRA requirement, there would be a change in functionality where the Alert would be a Communications Hub PRA as opposed from originating from the meter. </w:t>
      </w:r>
      <w:r w:rsidR="00581A4B">
        <w:t xml:space="preserve">This would utilise a currently unused Alert and so, would require DCC and User system changes to incorporate the Alert. </w:t>
      </w:r>
    </w:p>
    <w:p w14:paraId="43A9E10E" w14:textId="77777777" w:rsidR="00F556BC" w:rsidRDefault="00F556BC" w:rsidP="00F85CE1"/>
    <w:p w14:paraId="7E647D3B" w14:textId="5D042CA4" w:rsidR="00F556BC" w:rsidRDefault="00F556BC" w:rsidP="008A3C82">
      <w:pPr>
        <w:pStyle w:val="Subheading"/>
      </w:pPr>
      <w:r>
        <w:t>Splitting requirements by each CSP Region</w:t>
      </w:r>
    </w:p>
    <w:p w14:paraId="5C1F0007" w14:textId="62F6252C" w:rsidR="007A3FAB" w:rsidRDefault="00260DC6" w:rsidP="00F85CE1">
      <w:r>
        <w:t xml:space="preserve">A </w:t>
      </w:r>
      <w:r w:rsidR="008811D5">
        <w:t>Network Party</w:t>
      </w:r>
      <w:r>
        <w:t xml:space="preserve"> </w:t>
      </w:r>
      <w:r w:rsidR="009908DB">
        <w:t xml:space="preserve">queried whether there is a need to have a common set of business requirements for both </w:t>
      </w:r>
      <w:r w:rsidR="00966F93">
        <w:t>Communications Services Providers (</w:t>
      </w:r>
      <w:r w:rsidR="009908DB">
        <w:t>CSPs</w:t>
      </w:r>
      <w:r w:rsidR="00966F93">
        <w:t>)</w:t>
      </w:r>
      <w:r w:rsidR="009908DB">
        <w:t xml:space="preserve">, given that their respective systems operate differently. This was challenged as </w:t>
      </w:r>
      <w:r w:rsidR="007A3FAB">
        <w:t xml:space="preserve">members felt the DCC should endeavour </w:t>
      </w:r>
      <w:r w:rsidR="009908DB">
        <w:t>to have common behaviour between the two CSPs</w:t>
      </w:r>
      <w:r w:rsidR="007A3FAB">
        <w:t>, preventing geographical divides in functionality</w:t>
      </w:r>
      <w:r w:rsidR="009908DB">
        <w:t xml:space="preserve">. The approach of having separate requirements </w:t>
      </w:r>
      <w:r w:rsidR="007A3FAB">
        <w:t xml:space="preserve">for each </w:t>
      </w:r>
      <w:r w:rsidR="009908DB">
        <w:t xml:space="preserve">CSP </w:t>
      </w:r>
      <w:r w:rsidR="00E374F7">
        <w:t>r</w:t>
      </w:r>
      <w:r w:rsidR="009908DB">
        <w:t xml:space="preserve">egion could </w:t>
      </w:r>
      <w:r w:rsidR="007A3FAB">
        <w:t>set a precedent for</w:t>
      </w:r>
      <w:r w:rsidR="009908DB">
        <w:t xml:space="preserve"> other modifications and could cause complications </w:t>
      </w:r>
      <w:r w:rsidR="007A3FAB">
        <w:t>for future Proposed Solutions</w:t>
      </w:r>
      <w:r w:rsidR="009908DB">
        <w:t>.</w:t>
      </w:r>
      <w:r w:rsidR="007A3FAB">
        <w:t xml:space="preserve"> However, a</w:t>
      </w:r>
      <w:r w:rsidR="009908DB">
        <w:t xml:space="preserve"> member </w:t>
      </w:r>
      <w:r w:rsidR="007A3FAB">
        <w:t xml:space="preserve">noted </w:t>
      </w:r>
      <w:r w:rsidR="009908DB">
        <w:t xml:space="preserve">that </w:t>
      </w:r>
      <w:r w:rsidR="007A3FAB">
        <w:t xml:space="preserve">the </w:t>
      </w:r>
      <w:r w:rsidR="00040EF3">
        <w:t xml:space="preserve">Network Evolution </w:t>
      </w:r>
      <w:r w:rsidR="007A3FAB">
        <w:t xml:space="preserve">programme which </w:t>
      </w:r>
      <w:r w:rsidR="00040EF3">
        <w:t xml:space="preserve">is due to </w:t>
      </w:r>
      <w:r w:rsidR="00F95DE1">
        <w:t>commence</w:t>
      </w:r>
      <w:r w:rsidR="00040EF3">
        <w:t xml:space="preserve"> in 2028, will only take place in the </w:t>
      </w:r>
      <w:r w:rsidR="007A3FAB">
        <w:t xml:space="preserve">CSP </w:t>
      </w:r>
      <w:r w:rsidR="00040EF3">
        <w:t xml:space="preserve">Central and South </w:t>
      </w:r>
      <w:r w:rsidR="007A3FAB">
        <w:t>R</w:t>
      </w:r>
      <w:r w:rsidR="00040EF3">
        <w:t>egions. This would ultimately lead to differing functionality between the CSPs.</w:t>
      </w:r>
    </w:p>
    <w:p w14:paraId="2931A0F1" w14:textId="66A9D330" w:rsidR="00260DC6" w:rsidRDefault="00040EF3" w:rsidP="00F85CE1">
      <w:r>
        <w:t>Another member suggested that due to the anticipated lengthy lead time of MP096, Service Provider contract re-tender may be a more suitable option.</w:t>
      </w:r>
      <w:r w:rsidR="00914ED3">
        <w:t xml:space="preserve"> The Working Group highlighted that the lead time of MP096 may result in an implementation date close to the commencement of Network Evolution, which may affect the cost of MP096.</w:t>
      </w:r>
    </w:p>
    <w:p w14:paraId="31BA1AD5" w14:textId="77777777" w:rsidR="00F556BC" w:rsidRDefault="00F556BC" w:rsidP="00F85CE1"/>
    <w:p w14:paraId="1290EB8B" w14:textId="1536D683" w:rsidR="007A3FAB" w:rsidRDefault="007A3FAB" w:rsidP="008A3C82">
      <w:pPr>
        <w:pStyle w:val="Subheading"/>
      </w:pPr>
      <w:r>
        <w:t>MP096 Request for Information</w:t>
      </w:r>
    </w:p>
    <w:p w14:paraId="6FD8742D" w14:textId="56194A8B" w:rsidR="00040EF3" w:rsidRDefault="00040EF3" w:rsidP="00F85CE1">
      <w:r>
        <w:t xml:space="preserve">In order to progress MP096, the Working Group agreed that a Request </w:t>
      </w:r>
      <w:r w:rsidR="007A3FAB">
        <w:t>f</w:t>
      </w:r>
      <w:r>
        <w:t xml:space="preserve">or Information (RFI) should be issued to industry </w:t>
      </w:r>
      <w:r w:rsidR="00957927">
        <w:t xml:space="preserve">in order to better understand the business case of the modification. </w:t>
      </w:r>
      <w:r w:rsidR="004274EE">
        <w:t xml:space="preserve">It was suggested the RFI could include </w:t>
      </w:r>
      <w:r w:rsidR="00957927">
        <w:t>the below options:</w:t>
      </w:r>
    </w:p>
    <w:p w14:paraId="4554BB7C" w14:textId="7164B3DE" w:rsidR="00957927" w:rsidRDefault="00957927" w:rsidP="00957927">
      <w:pPr>
        <w:pStyle w:val="ListParagraph"/>
      </w:pPr>
      <w:r>
        <w:t>Leaving the SEC in its current form</w:t>
      </w:r>
      <w:r w:rsidR="006C4D15">
        <w:t>;</w:t>
      </w:r>
    </w:p>
    <w:p w14:paraId="6180B462" w14:textId="594F23B7" w:rsidR="00957927" w:rsidRDefault="00957927" w:rsidP="00957927">
      <w:pPr>
        <w:pStyle w:val="ListParagraph"/>
      </w:pPr>
      <w:r>
        <w:t xml:space="preserve">Amending the SEC to </w:t>
      </w:r>
      <w:r w:rsidR="007A3FAB">
        <w:t xml:space="preserve">reflect </w:t>
      </w:r>
      <w:r>
        <w:t>current POA/PRA performance</w:t>
      </w:r>
      <w:r w:rsidR="006C4D15">
        <w:t>; and</w:t>
      </w:r>
    </w:p>
    <w:p w14:paraId="7B8DCEB6" w14:textId="70209C01" w:rsidR="00957927" w:rsidRDefault="007A3FAB" w:rsidP="00957927">
      <w:pPr>
        <w:pStyle w:val="ListParagraph"/>
      </w:pPr>
      <w:r>
        <w:t xml:space="preserve">DCC </w:t>
      </w:r>
      <w:r w:rsidR="00957927">
        <w:t>System changes to enhance Alert delivery performance</w:t>
      </w:r>
      <w:r w:rsidR="008811D5">
        <w:t xml:space="preserve"> (this option includes subsequent changes to the SEC)</w:t>
      </w:r>
      <w:r w:rsidR="00957927">
        <w:t>:</w:t>
      </w:r>
    </w:p>
    <w:p w14:paraId="6BFF3FE1" w14:textId="540846E4" w:rsidR="00957927" w:rsidRDefault="00957927" w:rsidP="00957927">
      <w:pPr>
        <w:pStyle w:val="ListParagraph"/>
        <w:numPr>
          <w:ilvl w:val="1"/>
          <w:numId w:val="3"/>
        </w:numPr>
      </w:pPr>
      <w:r>
        <w:t xml:space="preserve">Option A </w:t>
      </w:r>
      <w:r w:rsidR="00A427AE">
        <w:t>shows the minimum change required to deliver a significant improvement</w:t>
      </w:r>
    </w:p>
    <w:p w14:paraId="14B0AFF7" w14:textId="5C946FE5" w:rsidR="00957927" w:rsidRDefault="00957927" w:rsidP="00957927">
      <w:pPr>
        <w:pStyle w:val="ListParagraph"/>
        <w:numPr>
          <w:ilvl w:val="1"/>
          <w:numId w:val="3"/>
        </w:numPr>
      </w:pPr>
      <w:r>
        <w:t xml:space="preserve">Option B shows the maximum performance </w:t>
      </w:r>
      <w:r w:rsidR="00A427AE">
        <w:t>improvement</w:t>
      </w:r>
    </w:p>
    <w:p w14:paraId="3CB3A036" w14:textId="70AFC8B3" w:rsidR="00914ED3" w:rsidRDefault="007A3FAB" w:rsidP="00A427AE">
      <w:r>
        <w:t xml:space="preserve">The RFI will include </w:t>
      </w:r>
      <w:r w:rsidR="00A427AE">
        <w:t xml:space="preserve">the updated ROM costs (including the cost of the DCC Impact Assessment) to allow respondents to </w:t>
      </w:r>
      <w:r>
        <w:t>make a judgment on the business case for each option</w:t>
      </w:r>
      <w:r w:rsidR="00A427AE">
        <w:t>.</w:t>
      </w:r>
      <w:r w:rsidR="00B41DF9">
        <w:t xml:space="preserve"> Respondents will be requested to provide their own </w:t>
      </w:r>
      <w:r>
        <w:t xml:space="preserve">cost benefit analysis </w:t>
      </w:r>
      <w:r w:rsidR="00B41DF9">
        <w:t>for each of the options.</w:t>
      </w:r>
      <w:r w:rsidR="000059A4">
        <w:t xml:space="preserve"> </w:t>
      </w:r>
    </w:p>
    <w:p w14:paraId="45958094" w14:textId="08EF3C5D" w:rsidR="00A427AE" w:rsidRDefault="000059A4" w:rsidP="00A427AE">
      <w:r>
        <w:t>It was also suggested that the benefits case of the modification should be written against the principles of non-compliance.</w:t>
      </w:r>
      <w:r w:rsidR="00914ED3">
        <w:t xml:space="preserve"> Furthermore, the Working Group requested that any available details of the Network Evolution project are also included in the RFI.</w:t>
      </w:r>
    </w:p>
    <w:p w14:paraId="776BDF4E" w14:textId="77777777" w:rsidR="00490947" w:rsidRDefault="00490947" w:rsidP="00F556BC">
      <w:pPr>
        <w:pStyle w:val="Subtitle"/>
      </w:pPr>
      <w:r>
        <w:t>Next Steps</w:t>
      </w:r>
    </w:p>
    <w:p w14:paraId="0062A635" w14:textId="6CCCE1CD" w:rsidR="00490947" w:rsidRDefault="00490947" w:rsidP="00490947">
      <w:pPr>
        <w:rPr>
          <w:szCs w:val="20"/>
        </w:rPr>
      </w:pPr>
      <w:r>
        <w:rPr>
          <w:szCs w:val="20"/>
        </w:rPr>
        <w:t>The following action</w:t>
      </w:r>
      <w:r w:rsidR="000126A7">
        <w:rPr>
          <w:szCs w:val="20"/>
        </w:rPr>
        <w:t>s</w:t>
      </w:r>
      <w:r>
        <w:rPr>
          <w:szCs w:val="20"/>
        </w:rPr>
        <w:t xml:space="preserve"> </w:t>
      </w:r>
      <w:r w:rsidR="009949FA">
        <w:rPr>
          <w:szCs w:val="20"/>
        </w:rPr>
        <w:t xml:space="preserve">were </w:t>
      </w:r>
      <w:r>
        <w:rPr>
          <w:szCs w:val="20"/>
        </w:rPr>
        <w:t>recorded from the meeting:</w:t>
      </w:r>
    </w:p>
    <w:p w14:paraId="636DED51" w14:textId="6209F841" w:rsidR="00C3392A" w:rsidRDefault="00C3392A" w:rsidP="00516EC5">
      <w:pPr>
        <w:pStyle w:val="ListParagraph"/>
      </w:pPr>
      <w:r>
        <w:t xml:space="preserve">SECAS will </w:t>
      </w:r>
      <w:r w:rsidR="00173D84">
        <w:t xml:space="preserve">work with the DCC to produce </w:t>
      </w:r>
      <w:r w:rsidR="006C4D15">
        <w:t>the RFI document and issue it to industry</w:t>
      </w:r>
      <w:r w:rsidR="00173D84">
        <w:t>.</w:t>
      </w:r>
    </w:p>
    <w:p w14:paraId="0871BEAE" w14:textId="156D0243" w:rsidR="00173D84" w:rsidRDefault="00173D84" w:rsidP="00516EC5">
      <w:pPr>
        <w:pStyle w:val="ListParagraph"/>
      </w:pPr>
      <w:r>
        <w:t xml:space="preserve">SECAS </w:t>
      </w:r>
      <w:r w:rsidR="006C4D15">
        <w:t>will return MP096 to the Working Group with the RFI responses</w:t>
      </w:r>
      <w:r>
        <w:t>.</w:t>
      </w:r>
    </w:p>
    <w:p w14:paraId="79A55309" w14:textId="213F1C13" w:rsidR="000F16D0" w:rsidRPr="003423F3" w:rsidRDefault="000F16D0" w:rsidP="00E152A7"/>
    <w:sectPr w:rsidR="000F16D0" w:rsidRPr="003423F3" w:rsidSect="00633F6B">
      <w:headerReference w:type="default" r:id="rId9"/>
      <w:footerReference w:type="default" r:id="rId10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DA1B" w14:textId="77777777" w:rsidR="00FB6C52" w:rsidRDefault="00FB6C52" w:rsidP="004F458B">
      <w:pPr>
        <w:spacing w:after="0" w:line="240" w:lineRule="auto"/>
      </w:pPr>
      <w:r>
        <w:separator/>
      </w:r>
    </w:p>
  </w:endnote>
  <w:endnote w:type="continuationSeparator" w:id="0">
    <w:p w14:paraId="7207AE99" w14:textId="77777777" w:rsidR="00FB6C52" w:rsidRDefault="00FB6C52" w:rsidP="004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5"/>
      <w:gridCol w:w="3034"/>
      <w:gridCol w:w="2997"/>
    </w:tblGrid>
    <w:tr w:rsidR="00800AF2" w:rsidRPr="00633F6B" w14:paraId="28F8F56D" w14:textId="77777777" w:rsidTr="00481DA5">
      <w:trPr>
        <w:trHeight w:val="77"/>
      </w:trPr>
      <w:tc>
        <w:tcPr>
          <w:tcW w:w="2995" w:type="dxa"/>
        </w:tcPr>
        <w:p w14:paraId="2C947513" w14:textId="77777777" w:rsidR="00800AF2" w:rsidRPr="00633F6B" w:rsidRDefault="00800AF2" w:rsidP="000D492D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34" w:type="dxa"/>
          <w:vMerge w:val="restart"/>
          <w:vAlign w:val="center"/>
        </w:tcPr>
        <w:p w14:paraId="565C2727" w14:textId="77777777" w:rsidR="00800AF2" w:rsidRPr="00633F6B" w:rsidRDefault="00B13710" w:rsidP="00B13710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B478782" wp14:editId="022673ED">
                <wp:extent cx="1170579" cy="680400"/>
                <wp:effectExtent l="0" t="0" r="0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7" w:type="dxa"/>
        </w:tcPr>
        <w:p w14:paraId="2856E76C" w14:textId="77777777" w:rsidR="00800AF2" w:rsidRPr="00633F6B" w:rsidRDefault="00800AF2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800AF2" w:rsidRPr="00633F6B" w14:paraId="0F18E0D4" w14:textId="77777777" w:rsidTr="00800AF2">
      <w:trPr>
        <w:trHeight w:val="540"/>
      </w:trPr>
      <w:tc>
        <w:tcPr>
          <w:tcW w:w="2995" w:type="dxa"/>
        </w:tcPr>
        <w:p w14:paraId="71EC0C3E" w14:textId="211AABD6" w:rsidR="00800AF2" w:rsidRDefault="00800AF2" w:rsidP="000D492D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MP</w:t>
          </w:r>
          <w:r w:rsidR="00173D84">
            <w:rPr>
              <w:rFonts w:cs="Arial"/>
              <w:color w:val="595959" w:themeColor="text1" w:themeTint="A6"/>
              <w:sz w:val="16"/>
              <w:szCs w:val="16"/>
            </w:rPr>
            <w:t>096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 </w:t>
          </w:r>
          <w:r w:rsidR="00B13710">
            <w:rPr>
              <w:rFonts w:cs="Arial"/>
              <w:color w:val="595959" w:themeColor="text1" w:themeTint="A6"/>
              <w:sz w:val="16"/>
              <w:szCs w:val="16"/>
            </w:rPr>
            <w:t xml:space="preserve">– </w:t>
          </w:r>
          <w:r w:rsidR="00173D84">
            <w:rPr>
              <w:rFonts w:cs="Arial"/>
              <w:color w:val="595959" w:themeColor="text1" w:themeTint="A6"/>
              <w:sz w:val="16"/>
              <w:szCs w:val="16"/>
            </w:rPr>
            <w:t>April</w:t>
          </w:r>
          <w:r w:rsidR="003B12CA">
            <w:rPr>
              <w:rFonts w:cs="Arial"/>
              <w:color w:val="595959" w:themeColor="text1" w:themeTint="A6"/>
              <w:sz w:val="16"/>
              <w:szCs w:val="16"/>
            </w:rPr>
            <w:t xml:space="preserve"> 2021</w:t>
          </w:r>
          <w:r w:rsidR="00F8182D">
            <w:rPr>
              <w:rFonts w:cs="Arial"/>
              <w:color w:val="595959" w:themeColor="text1" w:themeTint="A6"/>
              <w:sz w:val="16"/>
              <w:szCs w:val="16"/>
            </w:rPr>
            <w:t xml:space="preserve"> 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Working Group </w:t>
          </w:r>
          <w:r w:rsidR="00B13710">
            <w:rPr>
              <w:rFonts w:cs="Arial"/>
              <w:color w:val="595959" w:themeColor="text1" w:themeTint="A6"/>
              <w:sz w:val="16"/>
              <w:szCs w:val="16"/>
            </w:rPr>
            <w:t>m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eeting </w:t>
          </w:r>
          <w:r w:rsidR="00B13710">
            <w:rPr>
              <w:rFonts w:cs="Arial"/>
              <w:color w:val="595959" w:themeColor="text1" w:themeTint="A6"/>
              <w:sz w:val="16"/>
              <w:szCs w:val="16"/>
            </w:rPr>
            <w:t>s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>ummary</w:t>
          </w:r>
        </w:p>
      </w:tc>
      <w:tc>
        <w:tcPr>
          <w:tcW w:w="3034" w:type="dxa"/>
          <w:vMerge/>
        </w:tcPr>
        <w:p w14:paraId="079EA8D4" w14:textId="77777777" w:rsidR="00800AF2" w:rsidRDefault="00800AF2" w:rsidP="00633F6B">
          <w:pPr>
            <w:pStyle w:val="Footer"/>
            <w:jc w:val="center"/>
            <w:rPr>
              <w:noProof/>
              <w:lang w:eastAsia="en-GB"/>
            </w:rPr>
          </w:pPr>
        </w:p>
      </w:tc>
      <w:tc>
        <w:tcPr>
          <w:tcW w:w="2997" w:type="dxa"/>
        </w:tcPr>
        <w:p w14:paraId="6CBF7BB2" w14:textId="77777777" w:rsidR="00800AF2" w:rsidRDefault="00800AF2" w:rsidP="00800AF2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08F93BBA" w14:textId="77777777" w:rsidR="00800AF2" w:rsidRDefault="00800AF2" w:rsidP="00800AF2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5C74FCF3" w14:textId="77777777" w:rsidR="00800AF2" w:rsidRPr="00633F6B" w:rsidRDefault="00800AF2" w:rsidP="00800AF2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3423F3">
            <w:rPr>
              <w:rFonts w:cs="Arial"/>
              <w:b/>
              <w:color w:val="auto"/>
              <w:sz w:val="16"/>
              <w:szCs w:val="16"/>
            </w:rPr>
            <w:t>White</w:t>
          </w:r>
        </w:p>
      </w:tc>
    </w:tr>
  </w:tbl>
  <w:p w14:paraId="4875E3BB" w14:textId="77777777" w:rsidR="00DB0807" w:rsidRPr="00633F6B" w:rsidRDefault="00DB0807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B9A83" w14:textId="77777777" w:rsidR="00FB6C52" w:rsidRDefault="00FB6C52" w:rsidP="004F458B">
      <w:pPr>
        <w:spacing w:after="0" w:line="240" w:lineRule="auto"/>
      </w:pPr>
      <w:r>
        <w:separator/>
      </w:r>
    </w:p>
  </w:footnote>
  <w:footnote w:type="continuationSeparator" w:id="0">
    <w:p w14:paraId="072ADF65" w14:textId="77777777" w:rsidR="00FB6C52" w:rsidRDefault="00FB6C52" w:rsidP="004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9519" w14:textId="77777777" w:rsidR="003E558E" w:rsidRDefault="003E558E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182DE48E" wp14:editId="33A5D0C9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61751B"/>
    <w:multiLevelType w:val="hybridMultilevel"/>
    <w:tmpl w:val="D676EAF2"/>
    <w:lvl w:ilvl="0" w:tplc="101C79B2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20731"/>
    <w:multiLevelType w:val="hybridMultilevel"/>
    <w:tmpl w:val="735AA702"/>
    <w:lvl w:ilvl="0" w:tplc="16BA51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2FEA"/>
    <w:multiLevelType w:val="hybridMultilevel"/>
    <w:tmpl w:val="CDA02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64DFF"/>
    <w:multiLevelType w:val="hybridMultilevel"/>
    <w:tmpl w:val="EF68074A"/>
    <w:lvl w:ilvl="0" w:tplc="42529A7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835BD"/>
    <w:multiLevelType w:val="hybridMultilevel"/>
    <w:tmpl w:val="B3DC7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2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29"/>
    <w:rsid w:val="000055AC"/>
    <w:rsid w:val="000059A4"/>
    <w:rsid w:val="000126A7"/>
    <w:rsid w:val="00017658"/>
    <w:rsid w:val="00020BA4"/>
    <w:rsid w:val="000258B3"/>
    <w:rsid w:val="00040EF3"/>
    <w:rsid w:val="00055297"/>
    <w:rsid w:val="00057CF0"/>
    <w:rsid w:val="000622C0"/>
    <w:rsid w:val="00067AFA"/>
    <w:rsid w:val="00075828"/>
    <w:rsid w:val="00091612"/>
    <w:rsid w:val="000A3363"/>
    <w:rsid w:val="000B05C0"/>
    <w:rsid w:val="000B30A4"/>
    <w:rsid w:val="000B4FAB"/>
    <w:rsid w:val="000C423C"/>
    <w:rsid w:val="000C49C1"/>
    <w:rsid w:val="000C5748"/>
    <w:rsid w:val="000D0828"/>
    <w:rsid w:val="000D492D"/>
    <w:rsid w:val="000D7BCC"/>
    <w:rsid w:val="000E1170"/>
    <w:rsid w:val="000E330B"/>
    <w:rsid w:val="000E661D"/>
    <w:rsid w:val="000E6A3C"/>
    <w:rsid w:val="000E6DD9"/>
    <w:rsid w:val="000F01A9"/>
    <w:rsid w:val="000F16D0"/>
    <w:rsid w:val="000F3436"/>
    <w:rsid w:val="000F4376"/>
    <w:rsid w:val="000F75DB"/>
    <w:rsid w:val="00102237"/>
    <w:rsid w:val="0010448B"/>
    <w:rsid w:val="00152E20"/>
    <w:rsid w:val="001530DA"/>
    <w:rsid w:val="0015743D"/>
    <w:rsid w:val="001636D8"/>
    <w:rsid w:val="00173D84"/>
    <w:rsid w:val="001855DA"/>
    <w:rsid w:val="00192FAC"/>
    <w:rsid w:val="00193AA5"/>
    <w:rsid w:val="00196A93"/>
    <w:rsid w:val="001C32E8"/>
    <w:rsid w:val="001C63F9"/>
    <w:rsid w:val="001E3A8A"/>
    <w:rsid w:val="001E4249"/>
    <w:rsid w:val="001E5C72"/>
    <w:rsid w:val="00221A27"/>
    <w:rsid w:val="002357F7"/>
    <w:rsid w:val="0024177C"/>
    <w:rsid w:val="00251BB8"/>
    <w:rsid w:val="00251E29"/>
    <w:rsid w:val="00255929"/>
    <w:rsid w:val="00260DC6"/>
    <w:rsid w:val="002636BA"/>
    <w:rsid w:val="0026436B"/>
    <w:rsid w:val="00267F7B"/>
    <w:rsid w:val="00283D8C"/>
    <w:rsid w:val="002925A9"/>
    <w:rsid w:val="002A0870"/>
    <w:rsid w:val="002A46ED"/>
    <w:rsid w:val="002A76CA"/>
    <w:rsid w:val="002C12CA"/>
    <w:rsid w:val="002E0EC9"/>
    <w:rsid w:val="002E13CE"/>
    <w:rsid w:val="002F1749"/>
    <w:rsid w:val="002F2338"/>
    <w:rsid w:val="002F39BD"/>
    <w:rsid w:val="003025D8"/>
    <w:rsid w:val="003025E2"/>
    <w:rsid w:val="003029F3"/>
    <w:rsid w:val="00306C4B"/>
    <w:rsid w:val="003103AF"/>
    <w:rsid w:val="00326FB7"/>
    <w:rsid w:val="00331B41"/>
    <w:rsid w:val="00332631"/>
    <w:rsid w:val="003423F3"/>
    <w:rsid w:val="003425F2"/>
    <w:rsid w:val="00346E2F"/>
    <w:rsid w:val="00347F6A"/>
    <w:rsid w:val="00387635"/>
    <w:rsid w:val="00391A04"/>
    <w:rsid w:val="00391B14"/>
    <w:rsid w:val="003935E6"/>
    <w:rsid w:val="00397755"/>
    <w:rsid w:val="003A556D"/>
    <w:rsid w:val="003B12CA"/>
    <w:rsid w:val="003B3657"/>
    <w:rsid w:val="003C08F7"/>
    <w:rsid w:val="003C1DF0"/>
    <w:rsid w:val="003D2EA8"/>
    <w:rsid w:val="003D4888"/>
    <w:rsid w:val="003D4B63"/>
    <w:rsid w:val="003E4684"/>
    <w:rsid w:val="003E558E"/>
    <w:rsid w:val="00404C8C"/>
    <w:rsid w:val="00405167"/>
    <w:rsid w:val="004119F1"/>
    <w:rsid w:val="004170C6"/>
    <w:rsid w:val="00420A00"/>
    <w:rsid w:val="00422CAF"/>
    <w:rsid w:val="00423EC3"/>
    <w:rsid w:val="004274EE"/>
    <w:rsid w:val="0043667E"/>
    <w:rsid w:val="00441728"/>
    <w:rsid w:val="00441D82"/>
    <w:rsid w:val="00463094"/>
    <w:rsid w:val="0046501B"/>
    <w:rsid w:val="00471CC6"/>
    <w:rsid w:val="00481DA5"/>
    <w:rsid w:val="00485DC4"/>
    <w:rsid w:val="0048680F"/>
    <w:rsid w:val="00490947"/>
    <w:rsid w:val="004A3385"/>
    <w:rsid w:val="004D00F1"/>
    <w:rsid w:val="004D380A"/>
    <w:rsid w:val="004E1DB7"/>
    <w:rsid w:val="004F458B"/>
    <w:rsid w:val="00505898"/>
    <w:rsid w:val="00507273"/>
    <w:rsid w:val="00516EC5"/>
    <w:rsid w:val="0052765B"/>
    <w:rsid w:val="00530099"/>
    <w:rsid w:val="005334EF"/>
    <w:rsid w:val="00551CC4"/>
    <w:rsid w:val="00552455"/>
    <w:rsid w:val="005613A7"/>
    <w:rsid w:val="00564EBA"/>
    <w:rsid w:val="00571E51"/>
    <w:rsid w:val="005776F4"/>
    <w:rsid w:val="005778E5"/>
    <w:rsid w:val="00581A4B"/>
    <w:rsid w:val="00582377"/>
    <w:rsid w:val="00583EC5"/>
    <w:rsid w:val="00585F21"/>
    <w:rsid w:val="0059197A"/>
    <w:rsid w:val="00592625"/>
    <w:rsid w:val="00594818"/>
    <w:rsid w:val="005C0EDF"/>
    <w:rsid w:val="005C5499"/>
    <w:rsid w:val="005E0302"/>
    <w:rsid w:val="005F65BB"/>
    <w:rsid w:val="0060781C"/>
    <w:rsid w:val="00620DCD"/>
    <w:rsid w:val="006240A4"/>
    <w:rsid w:val="006256DB"/>
    <w:rsid w:val="00633F6B"/>
    <w:rsid w:val="0064797F"/>
    <w:rsid w:val="006546FD"/>
    <w:rsid w:val="0065625F"/>
    <w:rsid w:val="00661BA9"/>
    <w:rsid w:val="0068082B"/>
    <w:rsid w:val="00682B00"/>
    <w:rsid w:val="0069226B"/>
    <w:rsid w:val="006B0D39"/>
    <w:rsid w:val="006B1076"/>
    <w:rsid w:val="006B1B0C"/>
    <w:rsid w:val="006C4D15"/>
    <w:rsid w:val="006C637C"/>
    <w:rsid w:val="006C64EA"/>
    <w:rsid w:val="006D1654"/>
    <w:rsid w:val="006D2593"/>
    <w:rsid w:val="006D37C5"/>
    <w:rsid w:val="006D3E3A"/>
    <w:rsid w:val="006E5908"/>
    <w:rsid w:val="00712849"/>
    <w:rsid w:val="00713251"/>
    <w:rsid w:val="00725163"/>
    <w:rsid w:val="00730BA3"/>
    <w:rsid w:val="0074297A"/>
    <w:rsid w:val="00744B12"/>
    <w:rsid w:val="00745CA5"/>
    <w:rsid w:val="00747040"/>
    <w:rsid w:val="00751FA0"/>
    <w:rsid w:val="00761B8A"/>
    <w:rsid w:val="00783DBF"/>
    <w:rsid w:val="00793FD4"/>
    <w:rsid w:val="007943C4"/>
    <w:rsid w:val="007A26CE"/>
    <w:rsid w:val="007A3FAB"/>
    <w:rsid w:val="007A4826"/>
    <w:rsid w:val="007A5CA3"/>
    <w:rsid w:val="007B44E5"/>
    <w:rsid w:val="007B4ADF"/>
    <w:rsid w:val="007B5EE6"/>
    <w:rsid w:val="007B6A3F"/>
    <w:rsid w:val="007B6BEF"/>
    <w:rsid w:val="007E35FF"/>
    <w:rsid w:val="007E58E4"/>
    <w:rsid w:val="007E6ECB"/>
    <w:rsid w:val="007F66F1"/>
    <w:rsid w:val="00800AF2"/>
    <w:rsid w:val="00801794"/>
    <w:rsid w:val="00801B5E"/>
    <w:rsid w:val="008022BD"/>
    <w:rsid w:val="00810F76"/>
    <w:rsid w:val="00811994"/>
    <w:rsid w:val="00834C04"/>
    <w:rsid w:val="00853361"/>
    <w:rsid w:val="00853C8B"/>
    <w:rsid w:val="00855057"/>
    <w:rsid w:val="0086220C"/>
    <w:rsid w:val="00862303"/>
    <w:rsid w:val="008738E4"/>
    <w:rsid w:val="008811D5"/>
    <w:rsid w:val="00881CA8"/>
    <w:rsid w:val="0089731C"/>
    <w:rsid w:val="008A01C2"/>
    <w:rsid w:val="008A3C82"/>
    <w:rsid w:val="008C0612"/>
    <w:rsid w:val="008C7A8F"/>
    <w:rsid w:val="00901A0A"/>
    <w:rsid w:val="00914ED3"/>
    <w:rsid w:val="009153F2"/>
    <w:rsid w:val="00916999"/>
    <w:rsid w:val="00917320"/>
    <w:rsid w:val="009301EC"/>
    <w:rsid w:val="00957927"/>
    <w:rsid w:val="00962B86"/>
    <w:rsid w:val="00964CD2"/>
    <w:rsid w:val="00966F93"/>
    <w:rsid w:val="00971D14"/>
    <w:rsid w:val="009908DB"/>
    <w:rsid w:val="00991C2D"/>
    <w:rsid w:val="009931E7"/>
    <w:rsid w:val="009949FA"/>
    <w:rsid w:val="009A7772"/>
    <w:rsid w:val="009B4841"/>
    <w:rsid w:val="009B4C21"/>
    <w:rsid w:val="009C2393"/>
    <w:rsid w:val="009C5BAE"/>
    <w:rsid w:val="009C6ABA"/>
    <w:rsid w:val="009D04BA"/>
    <w:rsid w:val="009D56D8"/>
    <w:rsid w:val="009E14DA"/>
    <w:rsid w:val="009E4D59"/>
    <w:rsid w:val="009F269D"/>
    <w:rsid w:val="00A001CC"/>
    <w:rsid w:val="00A07DC7"/>
    <w:rsid w:val="00A1169C"/>
    <w:rsid w:val="00A16AF3"/>
    <w:rsid w:val="00A34E33"/>
    <w:rsid w:val="00A42421"/>
    <w:rsid w:val="00A427AE"/>
    <w:rsid w:val="00A441DE"/>
    <w:rsid w:val="00A50332"/>
    <w:rsid w:val="00A5165B"/>
    <w:rsid w:val="00A54644"/>
    <w:rsid w:val="00A6390E"/>
    <w:rsid w:val="00A72808"/>
    <w:rsid w:val="00A75FD0"/>
    <w:rsid w:val="00A81107"/>
    <w:rsid w:val="00A858CC"/>
    <w:rsid w:val="00A85BC8"/>
    <w:rsid w:val="00A90A90"/>
    <w:rsid w:val="00A94F15"/>
    <w:rsid w:val="00A95933"/>
    <w:rsid w:val="00AA11BF"/>
    <w:rsid w:val="00AA6424"/>
    <w:rsid w:val="00AC1347"/>
    <w:rsid w:val="00AC241A"/>
    <w:rsid w:val="00AD0B74"/>
    <w:rsid w:val="00AD70B0"/>
    <w:rsid w:val="00AF1834"/>
    <w:rsid w:val="00AF7F93"/>
    <w:rsid w:val="00B02B31"/>
    <w:rsid w:val="00B1202F"/>
    <w:rsid w:val="00B12F88"/>
    <w:rsid w:val="00B13710"/>
    <w:rsid w:val="00B13A0A"/>
    <w:rsid w:val="00B15328"/>
    <w:rsid w:val="00B17F4C"/>
    <w:rsid w:val="00B242DE"/>
    <w:rsid w:val="00B40A97"/>
    <w:rsid w:val="00B411F9"/>
    <w:rsid w:val="00B41DF9"/>
    <w:rsid w:val="00B50BDD"/>
    <w:rsid w:val="00B5188D"/>
    <w:rsid w:val="00B5592D"/>
    <w:rsid w:val="00B80B19"/>
    <w:rsid w:val="00B943CC"/>
    <w:rsid w:val="00BA2646"/>
    <w:rsid w:val="00BA3AD6"/>
    <w:rsid w:val="00BA7A76"/>
    <w:rsid w:val="00BB1D73"/>
    <w:rsid w:val="00BC1B98"/>
    <w:rsid w:val="00BC2A21"/>
    <w:rsid w:val="00BD1C03"/>
    <w:rsid w:val="00BD2ADD"/>
    <w:rsid w:val="00BD70A6"/>
    <w:rsid w:val="00BD742D"/>
    <w:rsid w:val="00BE1829"/>
    <w:rsid w:val="00BE43A3"/>
    <w:rsid w:val="00BF6FEE"/>
    <w:rsid w:val="00C257A7"/>
    <w:rsid w:val="00C33297"/>
    <w:rsid w:val="00C3392A"/>
    <w:rsid w:val="00C401C6"/>
    <w:rsid w:val="00C420BA"/>
    <w:rsid w:val="00C43704"/>
    <w:rsid w:val="00C454EA"/>
    <w:rsid w:val="00C46C5F"/>
    <w:rsid w:val="00C509B8"/>
    <w:rsid w:val="00C50BB9"/>
    <w:rsid w:val="00C86B22"/>
    <w:rsid w:val="00C92D9F"/>
    <w:rsid w:val="00CA1D8C"/>
    <w:rsid w:val="00CB77C9"/>
    <w:rsid w:val="00CC5FB4"/>
    <w:rsid w:val="00CD7753"/>
    <w:rsid w:val="00CE018A"/>
    <w:rsid w:val="00CE691C"/>
    <w:rsid w:val="00CF3BEF"/>
    <w:rsid w:val="00CF6AA5"/>
    <w:rsid w:val="00D15D55"/>
    <w:rsid w:val="00D160AF"/>
    <w:rsid w:val="00D27E31"/>
    <w:rsid w:val="00D31291"/>
    <w:rsid w:val="00D356AD"/>
    <w:rsid w:val="00D40179"/>
    <w:rsid w:val="00D423AF"/>
    <w:rsid w:val="00D47D4E"/>
    <w:rsid w:val="00D506A9"/>
    <w:rsid w:val="00D63701"/>
    <w:rsid w:val="00D65365"/>
    <w:rsid w:val="00D70ECB"/>
    <w:rsid w:val="00D826AC"/>
    <w:rsid w:val="00D9647C"/>
    <w:rsid w:val="00DA1B1A"/>
    <w:rsid w:val="00DA225E"/>
    <w:rsid w:val="00DB079D"/>
    <w:rsid w:val="00DB0807"/>
    <w:rsid w:val="00DB500E"/>
    <w:rsid w:val="00DC1474"/>
    <w:rsid w:val="00DC4326"/>
    <w:rsid w:val="00DD1A40"/>
    <w:rsid w:val="00DD7189"/>
    <w:rsid w:val="00DE1CF2"/>
    <w:rsid w:val="00DE3454"/>
    <w:rsid w:val="00DE5C32"/>
    <w:rsid w:val="00DF7D1A"/>
    <w:rsid w:val="00E10640"/>
    <w:rsid w:val="00E1288E"/>
    <w:rsid w:val="00E152A7"/>
    <w:rsid w:val="00E1536A"/>
    <w:rsid w:val="00E24571"/>
    <w:rsid w:val="00E3126E"/>
    <w:rsid w:val="00E31D79"/>
    <w:rsid w:val="00E35AA8"/>
    <w:rsid w:val="00E374F7"/>
    <w:rsid w:val="00E42FFB"/>
    <w:rsid w:val="00E4508B"/>
    <w:rsid w:val="00E454BA"/>
    <w:rsid w:val="00E47F32"/>
    <w:rsid w:val="00E50945"/>
    <w:rsid w:val="00E5727E"/>
    <w:rsid w:val="00E62969"/>
    <w:rsid w:val="00E6727F"/>
    <w:rsid w:val="00E77C26"/>
    <w:rsid w:val="00E84A70"/>
    <w:rsid w:val="00E84C1D"/>
    <w:rsid w:val="00E91C2A"/>
    <w:rsid w:val="00E9733A"/>
    <w:rsid w:val="00EA6D48"/>
    <w:rsid w:val="00EB17D8"/>
    <w:rsid w:val="00EB767D"/>
    <w:rsid w:val="00EC5C31"/>
    <w:rsid w:val="00ED0E2E"/>
    <w:rsid w:val="00ED15FD"/>
    <w:rsid w:val="00ED64C8"/>
    <w:rsid w:val="00EE33BF"/>
    <w:rsid w:val="00F0008C"/>
    <w:rsid w:val="00F3046D"/>
    <w:rsid w:val="00F43C74"/>
    <w:rsid w:val="00F47D15"/>
    <w:rsid w:val="00F556BC"/>
    <w:rsid w:val="00F57FE2"/>
    <w:rsid w:val="00F635A3"/>
    <w:rsid w:val="00F64567"/>
    <w:rsid w:val="00F76EC5"/>
    <w:rsid w:val="00F8182D"/>
    <w:rsid w:val="00F85CE1"/>
    <w:rsid w:val="00F95DE1"/>
    <w:rsid w:val="00FB0240"/>
    <w:rsid w:val="00FB6C52"/>
    <w:rsid w:val="00FC067E"/>
    <w:rsid w:val="00FC5CC6"/>
    <w:rsid w:val="00FD1ACC"/>
    <w:rsid w:val="00FD5A59"/>
    <w:rsid w:val="00FD6A99"/>
    <w:rsid w:val="00FE19A5"/>
    <w:rsid w:val="00FF0C8B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1745116"/>
  <w15:docId w15:val="{0D1332B5-571F-43E5-94C3-43F081D2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EC Paper Body"/>
    <w:qFormat/>
    <w:rsid w:val="00B13710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D0828"/>
    <w:pPr>
      <w:keepNext/>
      <w:keepLines/>
      <w:numPr>
        <w:numId w:val="1"/>
      </w:numPr>
      <w:spacing w:before="480" w:after="36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D0828"/>
    <w:pPr>
      <w:keepNext/>
      <w:keepLines/>
      <w:numPr>
        <w:numId w:val="2"/>
      </w:numPr>
      <w:spacing w:before="120"/>
      <w:ind w:left="357" w:hanging="357"/>
      <w:outlineLvl w:val="1"/>
    </w:pPr>
    <w:rPr>
      <w:rFonts w:eastAsiaTheme="majorEastAsia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Heading"/>
    <w:basedOn w:val="Normal"/>
    <w:next w:val="Normal"/>
    <w:link w:val="SubtitleChar"/>
    <w:autoRedefine/>
    <w:uiPriority w:val="11"/>
    <w:qFormat/>
    <w:rsid w:val="00F556BC"/>
    <w:pPr>
      <w:keepNext/>
      <w:spacing w:before="480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aliases w:val="Heading Char"/>
    <w:basedOn w:val="DefaultParagraphFont"/>
    <w:link w:val="Subtitle"/>
    <w:uiPriority w:val="11"/>
    <w:rsid w:val="00F556BC"/>
    <w:rPr>
      <w:rFonts w:ascii="Arial" w:eastAsiaTheme="majorEastAsia" w:hAnsi="Arial" w:cstheme="majorBidi"/>
      <w:b/>
      <w:iCs/>
      <w:color w:val="404040" w:themeColor="text1" w:themeTint="BF"/>
      <w:spacing w:val="15"/>
      <w:sz w:val="24"/>
      <w:szCs w:val="24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SEC Bullet Point,Dot pt,No Spacing1,List Paragraph Char Char Char,Indicator Text,Numbered Para 1,List Paragraph1,Bullet 1,Bullet Points,MAIN CONTENT,List Paragraph12,List Para,Bullet text"/>
    <w:basedOn w:val="Normal"/>
    <w:link w:val="ListParagraphChar"/>
    <w:qFormat/>
    <w:rsid w:val="00EE33BF"/>
    <w:pPr>
      <w:numPr>
        <w:numId w:val="3"/>
      </w:numPr>
    </w:pPr>
  </w:style>
  <w:style w:type="paragraph" w:customStyle="1" w:styleId="SECPaperTitle">
    <w:name w:val="SEC Paper Title"/>
    <w:basedOn w:val="Title"/>
    <w:link w:val="SECPaperTitleChar"/>
    <w:qFormat/>
    <w:rsid w:val="001E4249"/>
  </w:style>
  <w:style w:type="paragraph" w:customStyle="1" w:styleId="Sub-Heading">
    <w:name w:val="Sub-Heading"/>
    <w:basedOn w:val="Normal"/>
    <w:link w:val="Sub-HeadingChar"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4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qFormat/>
    <w:rsid w:val="00267F7B"/>
    <w:pPr>
      <w:ind w:left="709" w:hanging="709"/>
      <w:jc w:val="right"/>
    </w:pPr>
    <w:rPr>
      <w:i/>
    </w:rPr>
  </w:style>
  <w:style w:type="paragraph" w:customStyle="1" w:styleId="Subheading">
    <w:name w:val="Subheading"/>
    <w:basedOn w:val="Subtitle"/>
    <w:next w:val="Normal"/>
    <w:qFormat/>
    <w:rsid w:val="00F57FE2"/>
    <w:pPr>
      <w:numPr>
        <w:ilvl w:val="1"/>
      </w:numPr>
      <w:spacing w:before="0"/>
    </w:pPr>
    <w:rPr>
      <w:sz w:val="20"/>
    </w:rPr>
  </w:style>
  <w:style w:type="numbering" w:customStyle="1" w:styleId="Subtitles">
    <w:name w:val="Subtitles"/>
    <w:uiPriority w:val="99"/>
    <w:rsid w:val="00A75FD0"/>
    <w:pPr>
      <w:numPr>
        <w:numId w:val="5"/>
      </w:numPr>
    </w:pPr>
  </w:style>
  <w:style w:type="paragraph" w:customStyle="1" w:styleId="TableHeading">
    <w:name w:val="Table Heading"/>
    <w:basedOn w:val="Normal"/>
    <w:link w:val="TableHeadingChar"/>
    <w:qFormat/>
    <w:rsid w:val="003C08F7"/>
    <w:pPr>
      <w:spacing w:after="0" w:line="240" w:lineRule="auto"/>
      <w:jc w:val="center"/>
    </w:pPr>
    <w:rPr>
      <w:rFonts w:eastAsiaTheme="minorEastAsia" w:cs="Arial"/>
      <w:b/>
      <w:color w:val="FFFFFF" w:themeColor="background1"/>
      <w:sz w:val="22"/>
      <w:lang w:eastAsia="en-GB"/>
    </w:rPr>
  </w:style>
  <w:style w:type="character" w:customStyle="1" w:styleId="TableHeadingChar">
    <w:name w:val="Table Heading Char"/>
    <w:basedOn w:val="DefaultParagraphFont"/>
    <w:link w:val="TableHeading"/>
    <w:rsid w:val="003C08F7"/>
    <w:rPr>
      <w:rFonts w:ascii="Arial" w:eastAsiaTheme="minorEastAsia" w:hAnsi="Arial" w:cs="Arial"/>
      <w:b/>
      <w:color w:val="FFFFFF" w:themeColor="background1"/>
      <w:lang w:eastAsia="en-GB"/>
    </w:rPr>
  </w:style>
  <w:style w:type="character" w:customStyle="1" w:styleId="ListParagraphChar">
    <w:name w:val="List Paragraph Char"/>
    <w:aliases w:val="SEC Bullet Point Char,Dot pt Char,No Spacing1 Char,List Paragraph Char Char Char Char,Indicator Text Char,Numbered Para 1 Char,List Paragraph1 Char,Bullet 1 Char,Bullet Points Char,MAIN CONTENT Char,List Paragraph12 Char"/>
    <w:basedOn w:val="DefaultParagraphFont"/>
    <w:link w:val="ListParagraph"/>
    <w:qFormat/>
    <w:locked/>
    <w:rsid w:val="003C08F7"/>
    <w:rPr>
      <w:rFonts w:ascii="Arial" w:hAnsi="Arial"/>
      <w:color w:val="404040" w:themeColor="text1" w:themeTint="BF"/>
      <w:sz w:val="20"/>
    </w:rPr>
  </w:style>
  <w:style w:type="table" w:customStyle="1" w:styleId="TableGrid1">
    <w:name w:val="Table Grid1"/>
    <w:basedOn w:val="TableNormal"/>
    <w:uiPriority w:val="59"/>
    <w:rsid w:val="003C08F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3710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0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F7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F76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F76"/>
    <w:rPr>
      <w:rFonts w:ascii="Arial" w:hAnsi="Arial"/>
      <w:b/>
      <w:bCs/>
      <w:color w:val="404040" w:themeColor="text1" w:themeTint="BF"/>
      <w:sz w:val="20"/>
      <w:szCs w:val="20"/>
    </w:rPr>
  </w:style>
  <w:style w:type="paragraph" w:styleId="Revision">
    <w:name w:val="Revision"/>
    <w:hidden/>
    <w:uiPriority w:val="99"/>
    <w:semiHidden/>
    <w:rsid w:val="00AF1834"/>
    <w:pPr>
      <w:spacing w:after="0" w:line="240" w:lineRule="auto"/>
    </w:pPr>
    <w:rPr>
      <w:rFonts w:ascii="Arial" w:hAnsi="Arial"/>
      <w:color w:val="404040" w:themeColor="text1" w:themeTint="BF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025E2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uiPriority w:val="59"/>
    <w:rsid w:val="00E152A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E152A7"/>
    <w:pPr>
      <w:spacing w:line="240" w:lineRule="auto"/>
    </w:pPr>
    <w:rPr>
      <w:color w:val="4040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5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9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9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energycodecompany.co.uk/modifications/dno-power-outage-aler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685C8-F546-4FB1-80A5-E949013C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MP096 - Working Group meeting summary</vt:lpstr>
    </vt:vector>
  </TitlesOfParts>
  <Company>Gemserv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MP096 - Working Group meeting summary</dc:title>
  <dc:creator>Bradley Baker</dc:creator>
  <cp:lastModifiedBy>Bradley Baker</cp:lastModifiedBy>
  <cp:revision>4</cp:revision>
  <cp:lastPrinted>2020-10-20T09:46:00Z</cp:lastPrinted>
  <dcterms:created xsi:type="dcterms:W3CDTF">2021-04-16T09:44:00Z</dcterms:created>
  <dcterms:modified xsi:type="dcterms:W3CDTF">2021-04-21T13:36:00Z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2021-04-15T09:50:04Z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f527d1c4-141e-4f1b-ad4e-a1a821d7d4ff</vt:lpwstr>
  </property>
  <property fmtid="{D5CDD505-2E9C-101B-9397-08002B2CF9AE}" pid="8" name="MSIP_Label_ba62f585-b40f-4ab9-bafe-39150f03d124_ContentBits">
    <vt:lpwstr>0</vt:lpwstr>
  </property>
</Properties>
</file>